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0D8B" w14:textId="1D18EC07" w:rsidR="008F7C8D" w:rsidRDefault="008F7C8D" w:rsidP="008F7C8D">
      <w:pPr>
        <w:pStyle w:val="Titre1"/>
        <w:rPr>
          <w:rFonts w:eastAsiaTheme="minorEastAsia"/>
        </w:rPr>
      </w:pPr>
      <w:r>
        <w:rPr>
          <w:rFonts w:eastAsiaTheme="minorEastAsia"/>
        </w:rPr>
        <w:t>Essai de traction uniaxiale – identification hyperélastique</w:t>
      </w:r>
    </w:p>
    <w:p w14:paraId="738CF49E" w14:textId="77777777" w:rsidR="00F67475" w:rsidRDefault="00F67475" w:rsidP="008F7C8D">
      <w:pPr>
        <w:rPr>
          <w:rFonts w:eastAsiaTheme="minorEastAsia"/>
        </w:rPr>
      </w:pPr>
      <w:r>
        <w:rPr>
          <w:rFonts w:eastAsiaTheme="minorEastAsia"/>
        </w:rPr>
        <w:t>On dispose du matériel permettant de réaliser un essai de traction uniaxiale sur un matériau modèle. On dispose également</w:t>
      </w:r>
      <w:r w:rsidR="008F7C8D">
        <w:rPr>
          <w:rFonts w:eastAsiaTheme="minorEastAsia"/>
        </w:rPr>
        <w:t xml:space="preserve"> qu’on dispose d’une courbe expérimentale en traction uniaxiale</w:t>
      </w:r>
      <w:r>
        <w:rPr>
          <w:rFonts w:eastAsiaTheme="minorEastAsia"/>
        </w:rPr>
        <w:t xml:space="preserve"> sur aorte</w:t>
      </w:r>
      <w:r w:rsidR="008F7C8D">
        <w:rPr>
          <w:rFonts w:eastAsiaTheme="minorEastAsia"/>
        </w:rPr>
        <w:t xml:space="preserve"> et qu’on souhaite déterminer la loi hyperélastique la plus adaptée avec les paramètres matériaux correspondants. </w:t>
      </w:r>
    </w:p>
    <w:p w14:paraId="61E1B4DE" w14:textId="544609D2" w:rsidR="008F7C8D" w:rsidRDefault="008F7C8D" w:rsidP="008F7C8D">
      <w:pPr>
        <w:rPr>
          <w:rFonts w:eastAsiaTheme="minorEastAsia"/>
        </w:rPr>
      </w:pPr>
      <w:r>
        <w:rPr>
          <w:rFonts w:eastAsiaTheme="minorEastAsia"/>
        </w:rPr>
        <w:t xml:space="preserve">La courbe expérimentale </w:t>
      </w:r>
      <w:r w:rsidR="00F67475">
        <w:rPr>
          <w:rFonts w:eastAsiaTheme="minorEastAsia"/>
        </w:rPr>
        <w:t xml:space="preserve">fournie </w:t>
      </w:r>
      <w:r>
        <w:rPr>
          <w:rFonts w:eastAsiaTheme="minorEastAsia"/>
        </w:rPr>
        <w:t xml:space="preserve">est donnée en force vs. </w:t>
      </w:r>
      <w:proofErr w:type="gramStart"/>
      <w:r>
        <w:rPr>
          <w:rFonts w:eastAsiaTheme="minorEastAsia"/>
        </w:rPr>
        <w:t>déplacement</w:t>
      </w:r>
      <w:proofErr w:type="gramEnd"/>
      <w:r>
        <w:rPr>
          <w:rFonts w:eastAsiaTheme="minorEastAsia"/>
        </w:rPr>
        <w:t>. L’éprouvette testée avec comme dimensions initiales :</w:t>
      </w:r>
    </w:p>
    <w:p w14:paraId="2AE48869" w14:textId="77777777" w:rsidR="008F7C8D" w:rsidRDefault="008F7C8D" w:rsidP="008F7C8D">
      <w:pPr>
        <w:pStyle w:val="Paragraphedeliste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>Epaisseur : 1.63 mm</w:t>
      </w:r>
    </w:p>
    <w:p w14:paraId="1C51DCDE" w14:textId="77777777" w:rsidR="008F7C8D" w:rsidRDefault="008F7C8D" w:rsidP="008F7C8D">
      <w:pPr>
        <w:pStyle w:val="Paragraphedeliste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>Largeur : 23 mm</w:t>
      </w:r>
    </w:p>
    <w:p w14:paraId="0B92F762" w14:textId="77777777" w:rsidR="008F7C8D" w:rsidRPr="00BD5066" w:rsidRDefault="008F7C8D" w:rsidP="008F7C8D">
      <w:pPr>
        <w:pStyle w:val="Paragraphedeliste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>Distance entre mors : 63 mm</w:t>
      </w:r>
    </w:p>
    <w:p w14:paraId="20293010" w14:textId="77777777" w:rsidR="008F7C8D" w:rsidRPr="00971C63" w:rsidRDefault="008F7C8D" w:rsidP="008F7C8D">
      <w:pPr>
        <w:pStyle w:val="Titre3"/>
        <w:rPr>
          <w:rFonts w:eastAsiaTheme="minorEastAsia"/>
        </w:rPr>
      </w:pPr>
      <w:r>
        <w:rPr>
          <w:rFonts w:eastAsiaTheme="minorEastAsia"/>
        </w:rPr>
        <w:t>Post-traitement préalable</w:t>
      </w:r>
    </w:p>
    <w:p w14:paraId="672597E6" w14:textId="77777777" w:rsidR="008F7C8D" w:rsidRPr="00DE0A99" w:rsidRDefault="008F7C8D" w:rsidP="008F7C8D">
      <w:pPr>
        <w:pStyle w:val="Paragraphedeliste"/>
        <w:numPr>
          <w:ilvl w:val="0"/>
          <w:numId w:val="1"/>
        </w:numPr>
        <w:spacing w:after="0" w:line="240" w:lineRule="auto"/>
      </w:pPr>
      <w:proofErr w:type="gramStart"/>
      <w:r>
        <w:t>calculer</w:t>
      </w:r>
      <w:proofErr w:type="gramEnd"/>
      <w:r>
        <w:t xml:space="preserve"> la contrainte ingénieur 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ing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14:paraId="28413456" w14:textId="77777777" w:rsidR="008F7C8D" w:rsidRPr="00DE0A99" w:rsidRDefault="008F7C8D" w:rsidP="008F7C8D">
      <w:pPr>
        <w:pStyle w:val="Paragraphedeliste"/>
        <w:numPr>
          <w:ilvl w:val="0"/>
          <w:numId w:val="1"/>
        </w:numPr>
        <w:spacing w:after="0" w:line="240" w:lineRule="auto"/>
      </w:pPr>
      <w:proofErr w:type="gramStart"/>
      <w:r>
        <w:t>calculer</w:t>
      </w:r>
      <w:proofErr w:type="gramEnd"/>
      <w:r>
        <w:t xml:space="preserve"> l’allongement : </w:t>
      </w:r>
      <m:oMath>
        <m:r>
          <w:rPr>
            <w:rFonts w:ascii="Cambria Math" w:hAnsi="Cambria Math"/>
          </w:rPr>
          <m:t>λ=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14:paraId="6881A2A7" w14:textId="77777777" w:rsidR="008F7C8D" w:rsidRPr="00DE0A99" w:rsidRDefault="008F7C8D" w:rsidP="008F7C8D">
      <w:pPr>
        <w:pStyle w:val="Paragraphedeliste"/>
        <w:numPr>
          <w:ilvl w:val="0"/>
          <w:numId w:val="1"/>
        </w:numPr>
        <w:spacing w:after="0" w:line="240" w:lineRule="auto"/>
      </w:pPr>
      <w:proofErr w:type="gramStart"/>
      <w:r>
        <w:t>calculer</w:t>
      </w:r>
      <w:proofErr w:type="gramEnd"/>
      <w:r>
        <w:t xml:space="preserve"> la contrainte vraie (contrainte de Cauchy) : </w:t>
      </w:r>
      <m:oMath>
        <m:r>
          <w:rPr>
            <w:rFonts w:ascii="Cambria Math" w:hAnsi="Cambria Math"/>
          </w:rPr>
          <m:t>σ=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ing</m:t>
            </m:r>
          </m:sub>
        </m:sSub>
        <m:r>
          <w:rPr>
            <w:rFonts w:ascii="Cambria Math" w:hAnsi="Cambria Math"/>
          </w:rPr>
          <m:t>.λ</m:t>
        </m:r>
      </m:oMath>
    </w:p>
    <w:p w14:paraId="5049D196" w14:textId="77777777" w:rsidR="008F7C8D" w:rsidRDefault="008F7C8D" w:rsidP="008F7C8D">
      <w:pPr>
        <w:pStyle w:val="Paragraphedeliste"/>
        <w:numPr>
          <w:ilvl w:val="0"/>
          <w:numId w:val="1"/>
        </w:numPr>
        <w:spacing w:after="0" w:line="240" w:lineRule="auto"/>
      </w:pPr>
      <w:proofErr w:type="gramStart"/>
      <w:r>
        <w:t>tracer</w:t>
      </w:r>
      <w:proofErr w:type="gramEnd"/>
      <w:r>
        <w:t xml:space="preserve"> la courbe </w:t>
      </w:r>
      <m:oMath>
        <m:r>
          <w:rPr>
            <w:rFonts w:ascii="Cambria Math" w:hAnsi="Cambria Math"/>
          </w:rPr>
          <m:t>σ(λ)</m:t>
        </m:r>
      </m:oMath>
      <w:r>
        <w:t xml:space="preserve"> et analyser son allure</w:t>
      </w:r>
    </w:p>
    <w:p w14:paraId="3AFA3711" w14:textId="77777777" w:rsidR="008F7C8D" w:rsidRDefault="008F7C8D" w:rsidP="008F7C8D"/>
    <w:p w14:paraId="2C1F5D45" w14:textId="77777777" w:rsidR="008F7C8D" w:rsidRDefault="008F7C8D" w:rsidP="008F7C8D">
      <w:pPr>
        <w:pStyle w:val="Titre3"/>
      </w:pPr>
      <w:r>
        <w:t>Elaboration de l’équation hyperélastique en 1D</w:t>
      </w:r>
    </w:p>
    <w:p w14:paraId="4A49EE97" w14:textId="77777777" w:rsidR="008F7C8D" w:rsidRDefault="008F7C8D" w:rsidP="008F7C8D">
      <w:r>
        <w:t>Tenseur gradient des déformations</w:t>
      </w:r>
    </w:p>
    <w:p w14:paraId="1152FE7C" w14:textId="4B3B4C92" w:rsidR="008F7C8D" w:rsidRPr="009F1E01" w:rsidRDefault="004318F0" w:rsidP="008F7C8D">
      <m:oMathPara>
        <m:oMath>
          <m:r>
            <m:rPr>
              <m:sty m:val="bi"/>
            </m:rPr>
            <w:rPr>
              <w:rFonts w:ascii="Cambria Math" w:hAnsi="Cambria Math"/>
            </w:rPr>
            <m:t>F</m:t>
          </m:r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λ</m:t>
                        </m:r>
                      </m:e>
                    </m:rad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λ</m:t>
                        </m:r>
                      </m:e>
                    </m:rad>
                  </m:e>
                </m:mr>
              </m:m>
            </m:e>
          </m:d>
        </m:oMath>
      </m:oMathPara>
    </w:p>
    <w:p w14:paraId="37F9968A" w14:textId="77777777" w:rsidR="008F7C8D" w:rsidRDefault="008F7C8D" w:rsidP="008F7C8D">
      <w:r>
        <w:t>Tenseur de Cauchy-Green droit</w:t>
      </w:r>
    </w:p>
    <w:p w14:paraId="7D110E83" w14:textId="0C62347A" w:rsidR="008F7C8D" w:rsidRDefault="004318F0" w:rsidP="008F7C8D">
      <m:oMathPara>
        <m:oMath>
          <m:r>
            <m:rPr>
              <m:sty m:val="bi"/>
            </m:rPr>
            <w:rPr>
              <w:rFonts w:ascii="Cambria Math" w:hAnsi="Cambria Math"/>
            </w:rPr>
            <m:t>C</m:t>
          </m:r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</w:rPr>
            <m:t>F</m:t>
          </m:r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1/λ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1/λ</m:t>
                    </m:r>
                  </m:e>
                </m:mr>
              </m:m>
            </m:e>
          </m:d>
        </m:oMath>
      </m:oMathPara>
    </w:p>
    <w:p w14:paraId="1266A464" w14:textId="77777777" w:rsidR="008F7C8D" w:rsidRDefault="008F7C8D" w:rsidP="008F7C8D">
      <w:r>
        <w:t xml:space="preserve">Tenseur des contraintes de Piola-Kirchhoff II </w:t>
      </w:r>
    </w:p>
    <w:p w14:paraId="67EA37BC" w14:textId="687BDBB1" w:rsidR="004318F0" w:rsidRPr="004318F0" w:rsidRDefault="004318F0" w:rsidP="004318F0">
      <w:pPr>
        <w:rPr>
          <w:rFonts w:ascii="Cambria Math" w:hAnsi="Cambria Math"/>
          <w:i/>
        </w:rPr>
      </w:pPr>
      <m:oMathPara>
        <m:oMathParaPr>
          <m:jc m:val="centerGroup"/>
        </m:oMathParaPr>
        <m:oMath>
          <m:r>
            <m:rPr>
              <m:sty m:val="bi"/>
            </m:rPr>
            <w:rPr>
              <w:rFonts w:ascii="Cambria Math" w:hAnsi="Cambria Math"/>
            </w:rPr>
            <m:t>S</m:t>
          </m:r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∂W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den>
          </m:f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C</m:t>
          </m:r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)</m:t>
          </m:r>
        </m:oMath>
      </m:oMathPara>
    </w:p>
    <w:p w14:paraId="06BD39EB" w14:textId="1F6925A1" w:rsidR="008F7C8D" w:rsidRDefault="008F7C8D" w:rsidP="008F7C8D"/>
    <w:p w14:paraId="24639895" w14:textId="77777777" w:rsidR="008F7C8D" w:rsidRDefault="008F7C8D" w:rsidP="008F7C8D">
      <w:r>
        <w:t>Invariants de la déformation :</w:t>
      </w:r>
    </w:p>
    <w:p w14:paraId="1BE1460D" w14:textId="285078CA" w:rsidR="008F7C8D" w:rsidRDefault="00C677DE" w:rsidP="008F7C8D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=tr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λ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+2/λ</m:t>
          </m:r>
        </m:oMath>
      </m:oMathPara>
    </w:p>
    <w:p w14:paraId="2C4923DC" w14:textId="505F0864" w:rsidR="008F7C8D" w:rsidRDefault="00C677DE" w:rsidP="008F7C8D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tr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C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-tr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</m:d>
          <m:r>
            <w:rPr>
              <w:rFonts w:ascii="Cambria Math" w:hAnsi="Cambria Math"/>
            </w:rPr>
            <m:t>=2λ+1/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λ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CF17F2C" w14:textId="1C467ED6" w:rsidR="008F7C8D" w:rsidRPr="0044785A" w:rsidRDefault="00C677DE" w:rsidP="008F7C8D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</m:d>
              <m:r>
                <w:rPr>
                  <w:rFonts w:ascii="Cambria Math" w:hAnsi="Cambria Math"/>
                </w:rPr>
                <m:t>=1</m:t>
              </m:r>
            </m:e>
          </m:func>
        </m:oMath>
      </m:oMathPara>
    </w:p>
    <w:p w14:paraId="27A88311" w14:textId="77777777" w:rsidR="008F7C8D" w:rsidRDefault="008F7C8D" w:rsidP="008F7C8D">
      <w:proofErr w:type="gramStart"/>
      <w:r>
        <w:t>dans</w:t>
      </w:r>
      <w:proofErr w:type="gramEnd"/>
      <w:r>
        <w:t xml:space="preserve"> le cas incompressible.</w:t>
      </w:r>
    </w:p>
    <w:p w14:paraId="06B8F2FA" w14:textId="77777777" w:rsidR="008F7C8D" w:rsidRDefault="008F7C8D" w:rsidP="008F7C8D">
      <w:r>
        <w:t>Finalement :</w:t>
      </w:r>
    </w:p>
    <w:p w14:paraId="004E2575" w14:textId="78B277D7" w:rsidR="008F7C8D" w:rsidRDefault="008F7C8D" w:rsidP="008F7C8D">
      <m:oMathPara>
        <m:oMath>
          <m:r>
            <w:rPr>
              <w:rFonts w:ascii="Cambria Math" w:hAnsi="Cambria Math"/>
            </w:rPr>
            <w:lastRenderedPageBreak/>
            <m:t>s=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</m:oMath>
      </m:oMathPara>
    </w:p>
    <w:p w14:paraId="50FFBBAA" w14:textId="77777777" w:rsidR="008F7C8D" w:rsidRDefault="008F7C8D" w:rsidP="008F7C8D">
      <w:r>
        <w:t>En appliquant la relation</w:t>
      </w:r>
    </w:p>
    <w:p w14:paraId="7DCF5181" w14:textId="68965AC5" w:rsidR="008F7C8D" w:rsidRPr="0044785A" w:rsidRDefault="004318F0" w:rsidP="008F7C8D">
      <m:oMathPara>
        <m:oMath>
          <m:r>
            <m:rPr>
              <m:sty m:val="bi"/>
            </m:rPr>
            <w:rPr>
              <w:rFonts w:ascii="Cambria Math" w:hAnsi="Cambria Math"/>
            </w:rPr>
            <m:t>σ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J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F</m:t>
          </m:r>
          <m:r>
            <w:rPr>
              <w:rFonts w:ascii="Cambria Math" w:hAnsi="Cambria Math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</w:rPr>
            <m:t xml:space="preserve">S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1576CDE8" w14:textId="77777777" w:rsidR="008F7C8D" w:rsidRDefault="008F7C8D" w:rsidP="008F7C8D">
      <w:proofErr w:type="gramStart"/>
      <w:r>
        <w:t>on</w:t>
      </w:r>
      <w:proofErr w:type="gramEnd"/>
      <w:r>
        <w:t xml:space="preserve"> obtient</w:t>
      </w:r>
    </w:p>
    <w:p w14:paraId="09C6037E" w14:textId="0F10FB23" w:rsidR="008F7C8D" w:rsidRDefault="008F7C8D" w:rsidP="008F7C8D">
      <m:oMathPara>
        <m:oMath>
          <m:r>
            <w:rPr>
              <w:rFonts w:ascii="Cambria Math" w:hAnsi="Cambria Math"/>
            </w:rPr>
            <m:t>σ=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σ</m:t>
              </m:r>
              <m:r>
                <w:rPr>
                  <w:rFonts w:ascii="Cambria Math" w:hAnsi="Cambria Math"/>
                </w:rPr>
                <m:t>)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</m:oMath>
      </m:oMathPara>
    </w:p>
    <w:p w14:paraId="0C80B3D2" w14:textId="77777777" w:rsidR="008F7C8D" w:rsidRDefault="008F7C8D" w:rsidP="008F7C8D">
      <w:r>
        <w:t>Il existe de nombreuses formes de potentiels hyperélastiques. On en présente ici quelques-unes :</w:t>
      </w:r>
    </w:p>
    <w:p w14:paraId="407F37DC" w14:textId="3D13ED2C" w:rsidR="008F7C8D" w:rsidRPr="00BD5066" w:rsidRDefault="008F7C8D" w:rsidP="008F7C8D">
      <w:pPr>
        <w:pStyle w:val="Paragraphedeliste"/>
        <w:numPr>
          <w:ilvl w:val="0"/>
          <w:numId w:val="2"/>
        </w:numPr>
        <w:rPr>
          <w:lang w:val="en-US"/>
        </w:rPr>
      </w:pPr>
      <w:r w:rsidRPr="00BD5066">
        <w:rPr>
          <w:lang w:val="en-US"/>
        </w:rPr>
        <w:t>Mooney-</w:t>
      </w:r>
      <w:proofErr w:type="gramStart"/>
      <w:r w:rsidRPr="00BD5066">
        <w:rPr>
          <w:lang w:val="en-US"/>
        </w:rPr>
        <w:t>Rivlin :</w:t>
      </w:r>
      <w:proofErr w:type="gramEnd"/>
      <w:r w:rsidRPr="00BD5066">
        <w:rPr>
          <w:lang w:val="en-US"/>
        </w:rPr>
        <w:t xml:space="preserve"> </w:t>
      </w:r>
      <m:oMath>
        <m:r>
          <w:rPr>
            <w:rFonts w:ascii="Cambria Math" w:hAnsi="Cambria Math"/>
          </w:rPr>
          <m:t>W</m:t>
        </m:r>
        <m:r>
          <w:rPr>
            <w:rFonts w:ascii="Cambria Math" w:hAnsi="Cambria Math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  <w:lang w:val="en-US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/>
                <w:lang w:val="en-US"/>
              </w:rPr>
              <m:t>-3</m:t>
            </m:r>
          </m:e>
        </m:d>
        <m:r>
          <w:rPr>
            <w:rFonts w:ascii="Cambria Math" w:hAnsi="Cambria Math"/>
            <w:lang w:val="en-US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  <w:lang w:val="en-US"/>
              </w:rPr>
              <m:t>01</m:t>
            </m:r>
          </m:sub>
        </m:sSub>
        <m:r>
          <w:rPr>
            <w:rFonts w:ascii="Cambria Math" w:hAnsi="Cambria Math"/>
            <w:lang w:val="en-US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>-3)</m:t>
        </m:r>
      </m:oMath>
      <w:r w:rsidR="00FC159D">
        <w:rPr>
          <w:rFonts w:eastAsiaTheme="minorEastAsia"/>
          <w:lang w:val="en-US"/>
        </w:rPr>
        <w:t>Si</w:t>
      </w:r>
    </w:p>
    <w:p w14:paraId="6B8ED214" w14:textId="77777777" w:rsidR="008F7C8D" w:rsidRDefault="008F7C8D" w:rsidP="008F7C8D">
      <w:pPr>
        <w:pStyle w:val="Paragraphedeliste"/>
        <w:numPr>
          <w:ilvl w:val="0"/>
          <w:numId w:val="2"/>
        </w:numPr>
      </w:pPr>
      <w:r>
        <w:t xml:space="preserve">Polynomial : </w:t>
      </w:r>
      <m:oMath>
        <m:r>
          <w:rPr>
            <w:rFonts w:ascii="Cambria Math" w:hAnsi="Cambria Math"/>
          </w:rPr>
          <m:t>W=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-3</m:t>
            </m:r>
          </m:e>
        </m:d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-3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11E3D54" w14:textId="77777777" w:rsidR="008F7C8D" w:rsidRDefault="008F7C8D" w:rsidP="008F7C8D">
      <w:pPr>
        <w:pStyle w:val="Paragraphedeliste"/>
        <w:numPr>
          <w:ilvl w:val="0"/>
          <w:numId w:val="2"/>
        </w:numPr>
      </w:pPr>
      <w:r>
        <w:t xml:space="preserve">Haines et Wilson : </w:t>
      </w:r>
    </w:p>
    <w:p w14:paraId="6023A74A" w14:textId="77777777" w:rsidR="008F7C8D" w:rsidRPr="001F6EA8" w:rsidRDefault="008F7C8D" w:rsidP="008F7C8D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W=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-3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-3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20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02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30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-3)(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-3)</m:t>
          </m:r>
        </m:oMath>
      </m:oMathPara>
    </w:p>
    <w:p w14:paraId="52D5B1AD" w14:textId="6E62755E" w:rsidR="008F7C8D" w:rsidRPr="008F4680" w:rsidRDefault="008F7C8D" w:rsidP="008F7C8D">
      <w:pPr>
        <w:pStyle w:val="Paragraphedeliste"/>
        <w:numPr>
          <w:ilvl w:val="0"/>
          <w:numId w:val="4"/>
        </w:numPr>
      </w:pPr>
      <w:r>
        <w:t xml:space="preserve">Demiray : </w:t>
      </w:r>
      <m:oMath>
        <m:r>
          <w:rPr>
            <w:rFonts w:ascii="Cambria Math" w:hAnsi="Cambria Math"/>
          </w:rPr>
          <m:t>W=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d>
                  </m:e>
                </m:d>
              </m:e>
            </m:func>
            <m:r>
              <w:rPr>
                <w:rFonts w:ascii="Cambria Math" w:hAnsi="Cambria Math"/>
              </w:rPr>
              <m:t>-1</m:t>
            </m:r>
          </m:e>
        </m:d>
      </m:oMath>
    </w:p>
    <w:p w14:paraId="523D8AE9" w14:textId="5EA9791C" w:rsidR="008F4680" w:rsidRDefault="008F4680" w:rsidP="008F4680">
      <w:r>
        <w:t>Cas du cisaillement pur :</w:t>
      </w:r>
    </w:p>
    <w:p w14:paraId="26980AFB" w14:textId="6489D906" w:rsidR="00FC159D" w:rsidRDefault="00FC159D" w:rsidP="008F4680">
      <m:oMathPara>
        <m:oMath>
          <m:r>
            <m:rPr>
              <m:sty m:val="bi"/>
            </m:rPr>
            <w:rPr>
              <w:rFonts w:ascii="Cambria Math" w:hAnsi="Cambria Math"/>
            </w:rPr>
            <m:t>F</m:t>
          </m:r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1/λ</m:t>
                    </m:r>
                  </m:e>
                </m:mr>
              </m:m>
            </m:e>
          </m:d>
        </m:oMath>
      </m:oMathPara>
    </w:p>
    <w:p w14:paraId="7A310AFB" w14:textId="77777777" w:rsidR="00FC159D" w:rsidRPr="00071C9A" w:rsidRDefault="00FC159D" w:rsidP="008F4680"/>
    <w:p w14:paraId="72AAFB5F" w14:textId="557FD17C" w:rsidR="008F4680" w:rsidRDefault="00C677DE" w:rsidP="008F468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=tr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1+λ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+1/λ² </m:t>
          </m:r>
        </m:oMath>
      </m:oMathPara>
    </w:p>
    <w:p w14:paraId="247A5F0E" w14:textId="430DEF8D" w:rsidR="008F4680" w:rsidRDefault="00C677DE" w:rsidP="008F468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tr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C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-tr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</m:d>
          <m:r>
            <w:rPr>
              <w:rFonts w:ascii="Cambria Math" w:hAnsi="Cambria Math"/>
            </w:rPr>
            <m:t>=I1</m:t>
          </m:r>
        </m:oMath>
      </m:oMathPara>
    </w:p>
    <w:p w14:paraId="059D532A" w14:textId="14C703A5" w:rsidR="008F4680" w:rsidRPr="00DA6D55" w:rsidRDefault="00C677DE" w:rsidP="008F468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</m:d>
              <m:r>
                <w:rPr>
                  <w:rFonts w:ascii="Cambria Math" w:hAnsi="Cambria Math"/>
                </w:rPr>
                <m:t>=1</m:t>
              </m:r>
            </m:e>
          </m:func>
        </m:oMath>
      </m:oMathPara>
    </w:p>
    <w:p w14:paraId="31E38E3C" w14:textId="01D45D9B" w:rsidR="00DA6D55" w:rsidRDefault="00DA6D55" w:rsidP="008F4680">
      <w:pPr>
        <w:rPr>
          <w:rFonts w:eastAsiaTheme="minorEastAsia"/>
        </w:rPr>
      </w:pPr>
    </w:p>
    <w:p w14:paraId="4B17B390" w14:textId="77777777" w:rsidR="00DA6D55" w:rsidRPr="0044785A" w:rsidRDefault="00DA6D55" w:rsidP="008F4680"/>
    <w:p w14:paraId="7D251D97" w14:textId="77777777" w:rsidR="008F7C8D" w:rsidRDefault="008F7C8D"/>
    <w:sectPr w:rsidR="008F7C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CD2D" w14:textId="77777777" w:rsidR="00C677DE" w:rsidRDefault="00C677DE" w:rsidP="008F7C8D">
      <w:pPr>
        <w:spacing w:after="0" w:line="240" w:lineRule="auto"/>
      </w:pPr>
      <w:r>
        <w:separator/>
      </w:r>
    </w:p>
  </w:endnote>
  <w:endnote w:type="continuationSeparator" w:id="0">
    <w:p w14:paraId="66263E98" w14:textId="77777777" w:rsidR="00C677DE" w:rsidRDefault="00C677DE" w:rsidP="008F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7C86D" w14:textId="77777777" w:rsidR="00C677DE" w:rsidRDefault="00C677DE" w:rsidP="008F7C8D">
      <w:pPr>
        <w:spacing w:after="0" w:line="240" w:lineRule="auto"/>
      </w:pPr>
      <w:r>
        <w:separator/>
      </w:r>
    </w:p>
  </w:footnote>
  <w:footnote w:type="continuationSeparator" w:id="0">
    <w:p w14:paraId="24A82341" w14:textId="77777777" w:rsidR="00C677DE" w:rsidRDefault="00C677DE" w:rsidP="008F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DFCB1" w14:textId="23058F7D" w:rsidR="008F7C8D" w:rsidRPr="00F67475" w:rsidRDefault="00F67475" w:rsidP="00F67475">
    <w:pPr>
      <w:pStyle w:val="En-tte"/>
      <w:jc w:val="right"/>
      <w:rPr>
        <w:i/>
        <w:iCs/>
      </w:rPr>
    </w:pPr>
    <w:r w:rsidRPr="00F67475">
      <w:rPr>
        <w:i/>
        <w:iCs/>
        <w:noProof/>
      </w:rPr>
      <w:drawing>
        <wp:inline distT="0" distB="0" distL="0" distR="0" wp14:anchorId="30BB0FAC" wp14:editId="64A196FC">
          <wp:extent cx="1619480" cy="677203"/>
          <wp:effectExtent l="0" t="0" r="0" b="889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471" cy="681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67475">
      <w:rPr>
        <w:i/>
        <w:iCs/>
      </w:rPr>
      <w:t xml:space="preserve">                                               Ecole d’été du GDR Mécabio Santé – juin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1256"/>
    <w:multiLevelType w:val="hybridMultilevel"/>
    <w:tmpl w:val="259660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524"/>
    <w:multiLevelType w:val="hybridMultilevel"/>
    <w:tmpl w:val="FE3869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461D36"/>
    <w:multiLevelType w:val="hybridMultilevel"/>
    <w:tmpl w:val="C2A6FE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121FB"/>
    <w:multiLevelType w:val="hybridMultilevel"/>
    <w:tmpl w:val="CB1A2C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8D"/>
    <w:rsid w:val="00256699"/>
    <w:rsid w:val="004318F0"/>
    <w:rsid w:val="005A15C4"/>
    <w:rsid w:val="00851B50"/>
    <w:rsid w:val="008F4680"/>
    <w:rsid w:val="008F7C8D"/>
    <w:rsid w:val="00C677DE"/>
    <w:rsid w:val="00DA6D55"/>
    <w:rsid w:val="00F67475"/>
    <w:rsid w:val="00FC0D04"/>
    <w:rsid w:val="00FC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DF19"/>
  <w15:chartTrackingRefBased/>
  <w15:docId w15:val="{5A943008-68AD-4977-8EF9-457352E7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C8D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8F7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F7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F7C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F7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F7C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F7C8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F7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8F7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7C8D"/>
  </w:style>
  <w:style w:type="paragraph" w:styleId="Pieddepage">
    <w:name w:val="footer"/>
    <w:basedOn w:val="Normal"/>
    <w:link w:val="PieddepageCar"/>
    <w:uiPriority w:val="99"/>
    <w:unhideWhenUsed/>
    <w:rsid w:val="008F7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7C8D"/>
  </w:style>
  <w:style w:type="paragraph" w:styleId="NormalWeb">
    <w:name w:val="Normal (Web)"/>
    <w:basedOn w:val="Normal"/>
    <w:uiPriority w:val="99"/>
    <w:semiHidden/>
    <w:unhideWhenUsed/>
    <w:rsid w:val="004318F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1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Bel</dc:creator>
  <cp:keywords/>
  <dc:description/>
  <cp:lastModifiedBy>Aline Bel</cp:lastModifiedBy>
  <cp:revision>7</cp:revision>
  <dcterms:created xsi:type="dcterms:W3CDTF">2024-06-04T16:07:00Z</dcterms:created>
  <dcterms:modified xsi:type="dcterms:W3CDTF">2024-06-05T13:35:00Z</dcterms:modified>
</cp:coreProperties>
</file>