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8"/>
        </w:rPr>
        <w:t xml:space="preserve">Demande de recevabilité pour un dépôt de dossier </w:t>
      </w:r>
    </w:p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8"/>
        </w:rPr>
        <w:t>de</w:t>
      </w:r>
      <w:proofErr w:type="gramEnd"/>
      <w:r>
        <w:rPr>
          <w:rFonts w:asciiTheme="majorHAnsi" w:hAnsiTheme="majorHAnsi" w:cstheme="majorHAnsi"/>
          <w:color w:val="000000" w:themeColor="text1"/>
          <w:sz w:val="28"/>
        </w:rPr>
        <w:t xml:space="preserve"> reconnaissances d'activités extracurriculaires</w:t>
      </w:r>
    </w:p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Theme="majorHAnsi" w:hAnsiTheme="majorHAnsi" w:cstheme="majorHAnsi"/>
          <w:b/>
          <w:color w:val="FF0000"/>
          <w:sz w:val="28"/>
        </w:rPr>
      </w:pPr>
      <w:bookmarkStart w:id="1" w:name="_Hlk84851236"/>
      <w:proofErr w:type="gramStart"/>
      <w:r>
        <w:rPr>
          <w:rFonts w:asciiTheme="majorHAnsi" w:hAnsiTheme="majorHAnsi" w:cstheme="majorHAnsi"/>
          <w:b/>
          <w:color w:val="FF0000"/>
          <w:sz w:val="28"/>
        </w:rPr>
        <w:t>champ</w:t>
      </w:r>
      <w:proofErr w:type="gramEnd"/>
      <w:r>
        <w:rPr>
          <w:rFonts w:asciiTheme="majorHAnsi" w:hAnsiTheme="majorHAnsi" w:cstheme="majorHAnsi"/>
          <w:b/>
          <w:color w:val="FF0000"/>
          <w:sz w:val="28"/>
        </w:rPr>
        <w:t xml:space="preserve"> HUMANITÉS</w:t>
      </w:r>
      <w:bookmarkEnd w:id="1"/>
    </w:p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r>
        <w:rPr>
          <w:rFonts w:asciiTheme="majorHAnsi" w:hAnsiTheme="majorHAnsi" w:cstheme="majorHAnsi"/>
          <w:color w:val="000000" w:themeColor="text1"/>
          <w:sz w:val="28"/>
        </w:rPr>
        <w:t>Année 2022-23</w:t>
      </w:r>
    </w:p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</w:rPr>
        <w:t>Demande à envoyer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par mail à </w:t>
      </w:r>
      <w:hyperlink r:id="rId7">
        <w:r>
          <w:rPr>
            <w:rStyle w:val="LienInternet"/>
            <w:rFonts w:asciiTheme="majorHAnsi" w:hAnsiTheme="majorHAnsi" w:cstheme="majorHAnsi"/>
            <w:color w:val="0563C1"/>
            <w:shd w:val="clear" w:color="auto" w:fill="FFFFFF"/>
          </w:rPr>
          <w:t>pph@insa-lyon.fr</w:t>
        </w:r>
      </w:hyperlink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et à</w:t>
      </w:r>
      <w:r>
        <w:rPr>
          <w:rFonts w:asciiTheme="majorHAnsi" w:hAnsiTheme="majorHAnsi" w:cstheme="majorHAnsi"/>
          <w:b/>
        </w:rPr>
        <w:t xml:space="preserve"> </w:t>
      </w:r>
      <w:hyperlink r:id="rId8">
        <w:r>
          <w:rPr>
            <w:rStyle w:val="LienInternet"/>
            <w:rFonts w:asciiTheme="majorHAnsi" w:hAnsiTheme="majorHAnsi" w:cstheme="majorHAnsi"/>
          </w:rPr>
          <w:t>directeur.adjoint.formation@insa-lyon.fr</w:t>
        </w:r>
      </w:hyperlink>
      <w:r>
        <w:rPr>
          <w:rStyle w:val="LienInternet"/>
          <w:rFonts w:asciiTheme="majorHAnsi" w:hAnsiTheme="majorHAnsi" w:cstheme="majorHAnsi"/>
        </w:rPr>
        <w:br/>
      </w:r>
      <w:bookmarkStart w:id="2" w:name="_Hlk85734940"/>
      <w:r>
        <w:rPr>
          <w:rFonts w:asciiTheme="majorHAnsi" w:hAnsiTheme="majorHAnsi" w:cstheme="majorHAnsi"/>
          <w:b/>
          <w:color w:val="000000" w:themeColor="text1"/>
        </w:rPr>
        <w:t>et copie au directeur(</w:t>
      </w:r>
      <w:proofErr w:type="spellStart"/>
      <w:r>
        <w:rPr>
          <w:rFonts w:asciiTheme="majorHAnsi" w:hAnsiTheme="majorHAnsi" w:cstheme="majorHAnsi"/>
          <w:b/>
          <w:color w:val="000000" w:themeColor="text1"/>
        </w:rPr>
        <w:t>trice</w:t>
      </w:r>
      <w:proofErr w:type="spellEnd"/>
      <w:r>
        <w:rPr>
          <w:rFonts w:asciiTheme="majorHAnsi" w:hAnsiTheme="majorHAnsi" w:cstheme="majorHAnsi"/>
          <w:b/>
          <w:color w:val="000000" w:themeColor="text1"/>
        </w:rPr>
        <w:t>) de votre département</w:t>
      </w:r>
      <w:bookmarkEnd w:id="2"/>
    </w:p>
    <w:p w:rsidR="0037363F" w:rsidRDefault="00BA507C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Theme="majorHAnsi" w:hAnsiTheme="majorHAnsi" w:cstheme="majorHAnsi"/>
          <w:color w:val="FF0000"/>
        </w:rPr>
      </w:pPr>
      <w:proofErr w:type="gramStart"/>
      <w:r>
        <w:rPr>
          <w:rFonts w:asciiTheme="majorHAnsi" w:hAnsiTheme="majorHAnsi" w:cstheme="majorHAnsi"/>
          <w:b/>
          <w:color w:val="FF0000"/>
        </w:rPr>
        <w:t>au</w:t>
      </w:r>
      <w:proofErr w:type="gramEnd"/>
      <w:r>
        <w:rPr>
          <w:rFonts w:asciiTheme="majorHAnsi" w:hAnsiTheme="majorHAnsi" w:cstheme="majorHAnsi"/>
          <w:b/>
          <w:color w:val="FF0000"/>
        </w:rPr>
        <w:t xml:space="preserve"> plus tard le 6 décembre 2022</w:t>
      </w:r>
      <w:r>
        <w:rPr>
          <w:rFonts w:asciiTheme="majorHAnsi" w:hAnsiTheme="majorHAnsi" w:cstheme="majorHAnsi"/>
          <w:color w:val="FF0000"/>
        </w:rPr>
        <w:t xml:space="preserve"> </w:t>
      </w:r>
    </w:p>
    <w:p w:rsidR="0037363F" w:rsidRDefault="0037363F">
      <w:pPr>
        <w:rPr>
          <w:rFonts w:asciiTheme="majorHAnsi" w:hAnsiTheme="majorHAnsi" w:cstheme="majorHAnsi"/>
        </w:rPr>
      </w:pPr>
    </w:p>
    <w:p w:rsidR="0037363F" w:rsidRDefault="00BA507C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Rappel des consignes</w:t>
      </w:r>
      <w:r>
        <w:rPr>
          <w:rFonts w:asciiTheme="majorHAnsi" w:hAnsiTheme="majorHAnsi" w:cstheme="majorHAnsi"/>
        </w:rPr>
        <w:t xml:space="preserve"> : </w:t>
      </w:r>
      <w:bookmarkStart w:id="3" w:name="_Hlk85734871"/>
      <w:r>
        <w:rPr>
          <w:rFonts w:asciiTheme="majorHAnsi" w:hAnsiTheme="majorHAnsi" w:cstheme="majorHAnsi"/>
        </w:rPr>
        <w:t xml:space="preserve">vous devez prendre rendez-vous en amont de </w:t>
      </w:r>
      <w:r>
        <w:rPr>
          <w:rFonts w:asciiTheme="majorHAnsi" w:hAnsiTheme="majorHAnsi" w:cstheme="majorHAnsi"/>
        </w:rPr>
        <w:t>votre dépôt de dossier avec le directeur (</w:t>
      </w:r>
      <w:proofErr w:type="spellStart"/>
      <w:r>
        <w:rPr>
          <w:rFonts w:asciiTheme="majorHAnsi" w:hAnsiTheme="majorHAnsi" w:cstheme="majorHAnsi"/>
        </w:rPr>
        <w:t>trice</w:t>
      </w:r>
      <w:proofErr w:type="spellEnd"/>
      <w:r>
        <w:rPr>
          <w:rFonts w:asciiTheme="majorHAnsi" w:hAnsiTheme="majorHAnsi" w:cstheme="majorHAnsi"/>
        </w:rPr>
        <w:t>) de votre département pour discuter de votre demande.</w:t>
      </w:r>
      <w:bookmarkEnd w:id="3"/>
      <w:r>
        <w:rPr>
          <w:rFonts w:asciiTheme="majorHAnsi" w:hAnsiTheme="majorHAnsi" w:cstheme="majorHAnsi"/>
        </w:rPr>
        <w:t xml:space="preserve"> Celle-ci ne sera examinée que si le semestre de validation de votre PPH, fixé par votre département, est au deuxième semestre de l’année universitaire de </w:t>
      </w:r>
      <w:r>
        <w:rPr>
          <w:rFonts w:asciiTheme="majorHAnsi" w:hAnsiTheme="majorHAnsi" w:cstheme="majorHAnsi"/>
        </w:rPr>
        <w:t>votre demande ou au premier semestre de l’année suivante.</w:t>
      </w:r>
    </w:p>
    <w:p w:rsidR="0037363F" w:rsidRDefault="0037363F">
      <w:pPr>
        <w:pStyle w:val="En-tte"/>
        <w:shd w:val="clear" w:color="auto" w:fill="FFFFFF" w:themeFill="background1"/>
        <w:jc w:val="left"/>
        <w:rPr>
          <w:rFonts w:asciiTheme="majorHAnsi" w:hAnsiTheme="majorHAnsi" w:cstheme="majorHAnsi"/>
          <w:b/>
        </w:rPr>
      </w:pPr>
    </w:p>
    <w:p w:rsidR="0037363F" w:rsidRDefault="00BA507C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 indiqué dans la procédure, disponible sur l'intranet étudiant, votre demande de recevabilité doit-être acceptée par la commission qui se réunira le 14 décembre 2022.</w:t>
      </w:r>
    </w:p>
    <w:p w:rsidR="0037363F" w:rsidRDefault="00BA507C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Cette demande est individ</w:t>
      </w:r>
      <w:r>
        <w:rPr>
          <w:rFonts w:asciiTheme="majorHAnsi" w:hAnsiTheme="majorHAnsi" w:cstheme="majorHAnsi"/>
        </w:rPr>
        <w:t>uelle et doit respecter le nommage de fichier suivant :</w:t>
      </w:r>
    </w:p>
    <w:p w:rsidR="0037363F" w:rsidRDefault="00BA507C">
      <w:pPr>
        <w:pStyle w:val="En-tte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color w:val="0070C0"/>
        </w:rPr>
        <w:t>NOM_prenom_annee_dpt</w:t>
      </w:r>
      <w:proofErr w:type="spellEnd"/>
      <w:r>
        <w:rPr>
          <w:rFonts w:asciiTheme="majorHAnsi" w:hAnsiTheme="majorHAnsi" w:cstheme="majorHAnsi"/>
          <w:color w:val="0070C0"/>
        </w:rPr>
        <w:t xml:space="preserve"> (DUPOND_Pierre_4_SGM.pdf)</w:t>
      </w:r>
    </w:p>
    <w:p w:rsidR="0037363F" w:rsidRDefault="0037363F">
      <w:pPr>
        <w:pStyle w:val="En-tte"/>
        <w:rPr>
          <w:rFonts w:asciiTheme="majorHAnsi" w:hAnsiTheme="majorHAnsi" w:cstheme="majorHAnsi"/>
        </w:rPr>
      </w:pPr>
    </w:p>
    <w:p w:rsidR="0037363F" w:rsidRDefault="00BA507C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cas de refus de votre demande par la commission, vous pourrez déposer un recours auprès du Conseil des Études (CE) à l'adresse suivante </w:t>
      </w:r>
      <w:hyperlink r:id="rId9">
        <w:r>
          <w:rPr>
            <w:rStyle w:val="LienInternet"/>
            <w:rFonts w:asciiTheme="majorHAnsi" w:hAnsiTheme="majorHAnsi" w:cstheme="majorHAnsi"/>
          </w:rPr>
          <w:t>df@insa-lyon.fr</w:t>
        </w:r>
      </w:hyperlink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color w:val="FF0000"/>
        </w:rPr>
        <w:t>avant le jeudi 12 janvier 2022</w:t>
      </w:r>
      <w:r>
        <w:rPr>
          <w:rFonts w:asciiTheme="majorHAnsi" w:hAnsiTheme="majorHAnsi" w:cstheme="majorHAnsi"/>
        </w:rPr>
        <w:t>, date à laquelle se réunira la commission de recours du CE. Vous recevrez par email, au plus tard fin janvier, la décision de cette commission de recours.</w:t>
      </w:r>
    </w:p>
    <w:p w:rsidR="0037363F" w:rsidRDefault="0037363F">
      <w:pPr>
        <w:pStyle w:val="En-tte"/>
        <w:rPr>
          <w:rFonts w:asciiTheme="majorHAnsi" w:hAnsiTheme="majorHAnsi" w:cstheme="majorHAnsi"/>
        </w:rPr>
      </w:pPr>
    </w:p>
    <w:p w:rsidR="0037363F" w:rsidRDefault="00BA507C">
      <w:pPr>
        <w:pStyle w:val="En-tte"/>
        <w:rPr>
          <w:rFonts w:asciiTheme="majorHAnsi" w:hAnsiTheme="majorHAnsi" w:cstheme="majorHAnsi"/>
        </w:rPr>
      </w:pPr>
      <w:r>
        <w:rPr>
          <w:rFonts w:ascii="Calibri Light" w:hAnsi="Calibri Light" w:cstheme="majorHAnsi"/>
        </w:rPr>
        <w:t xml:space="preserve">Dans le cadre du PPH et </w:t>
      </w:r>
      <w:r>
        <w:rPr>
          <w:rFonts w:ascii="Calibri Light" w:hAnsi="Calibri Light" w:cstheme="majorHAnsi"/>
        </w:rPr>
        <w:t xml:space="preserve">des engagements associatifs insaliens, seuls les membres des bureaux des </w:t>
      </w:r>
      <w:proofErr w:type="gramStart"/>
      <w:r>
        <w:rPr>
          <w:rFonts w:ascii="Calibri Light" w:hAnsi="Calibri Light" w:cstheme="majorHAnsi"/>
        </w:rPr>
        <w:t>grosses</w:t>
      </w:r>
      <w:proofErr w:type="gramEnd"/>
      <w:r>
        <w:rPr>
          <w:rFonts w:ascii="Calibri Light" w:hAnsi="Calibri Light" w:cstheme="majorHAnsi"/>
        </w:rPr>
        <w:t xml:space="preserve"> associations, avec évolution des responsabilités au sein de l’asso pendant au moins 2 années, seront éligibles. Si cette condition est satisfaite, il faudra pour ce dossier de</w:t>
      </w:r>
      <w:r>
        <w:rPr>
          <w:rFonts w:ascii="Calibri Light" w:hAnsi="Calibri Light" w:cstheme="majorHAnsi"/>
        </w:rPr>
        <w:t xml:space="preserve"> candidature rédiger </w:t>
      </w:r>
      <w:r>
        <w:rPr>
          <w:rFonts w:ascii="Calibri Light" w:hAnsi="Calibri Light" w:cstheme="majorHAnsi"/>
          <w:b/>
          <w:bCs/>
        </w:rPr>
        <w:t>4-5 pages</w:t>
      </w:r>
      <w:r>
        <w:rPr>
          <w:rFonts w:ascii="Calibri Light" w:hAnsi="Calibri Light" w:cstheme="majorHAnsi"/>
        </w:rPr>
        <w:t xml:space="preserve"> sur les différentes expériences associatives vécues, les </w:t>
      </w:r>
      <w:r>
        <w:rPr>
          <w:rFonts w:ascii="Calibri Light" w:hAnsi="Calibri Light" w:cstheme="majorHAnsi"/>
          <w:b/>
          <w:bCs/>
        </w:rPr>
        <w:t>apprentissages</w:t>
      </w:r>
      <w:r>
        <w:rPr>
          <w:rFonts w:ascii="Calibri Light" w:hAnsi="Calibri Light" w:cstheme="majorHAnsi"/>
        </w:rPr>
        <w:t xml:space="preserve"> que vous en avez retirés, et votre </w:t>
      </w:r>
      <w:r>
        <w:rPr>
          <w:rFonts w:ascii="Calibri Light" w:hAnsi="Calibri Light" w:cstheme="majorHAnsi"/>
          <w:b/>
          <w:bCs/>
        </w:rPr>
        <w:t>réflexion personnelle</w:t>
      </w:r>
      <w:r>
        <w:rPr>
          <w:rFonts w:ascii="Calibri Light" w:hAnsi="Calibri Light" w:cstheme="majorHAnsi"/>
        </w:rPr>
        <w:t xml:space="preserve"> sur ce type d'engagement. Pas juste une description de vos activités ! Pour information, un tier</w:t>
      </w:r>
      <w:r>
        <w:rPr>
          <w:rFonts w:ascii="Calibri Light" w:hAnsi="Calibri Light" w:cstheme="majorHAnsi"/>
        </w:rPr>
        <w:t>s des dossiers déposés en 2021-2022 n’ont pas été validés au titre du PPH.</w:t>
      </w:r>
    </w:p>
    <w:p w:rsidR="0037363F" w:rsidRDefault="0037363F">
      <w:pPr>
        <w:rPr>
          <w:rFonts w:asciiTheme="majorHAnsi" w:hAnsiTheme="majorHAnsi" w:cstheme="majorHAnsi"/>
        </w:rPr>
      </w:pPr>
    </w:p>
    <w:p w:rsidR="0037363F" w:rsidRDefault="00BA507C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 travail doit s'inscrire dans les objectifs et compétences cibles du PPH auquel il se substitue :</w:t>
      </w:r>
    </w:p>
    <w:p w:rsidR="0037363F" w:rsidRDefault="00BA507C">
      <w:pPr>
        <w:pStyle w:val="Paragraphedeliste"/>
        <w:numPr>
          <w:ilvl w:val="0"/>
          <w:numId w:val="2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Travail réflexif (objectif premier du PPH)</w:t>
      </w:r>
    </w:p>
    <w:p w:rsidR="0037363F" w:rsidRDefault="00BA507C">
      <w:pPr>
        <w:pStyle w:val="Paragraphedeliste"/>
        <w:numPr>
          <w:ilvl w:val="0"/>
          <w:numId w:val="2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"Travailler, apprendre, évoluer de </w:t>
      </w:r>
      <w:r>
        <w:rPr>
          <w:rFonts w:asciiTheme="majorHAnsi" w:hAnsiTheme="majorHAnsi" w:cstheme="majorHAnsi"/>
        </w:rPr>
        <w:t>manière autonome" (compétence cible)</w:t>
      </w:r>
    </w:p>
    <w:p w:rsidR="0037363F" w:rsidRDefault="00BA507C">
      <w:pPr>
        <w:pStyle w:val="Paragraphedeliste"/>
        <w:numPr>
          <w:ilvl w:val="0"/>
          <w:numId w:val="2"/>
        </w:numPr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"Agir de manière responsable dans un monde complexe" (compétence cible).</w:t>
      </w:r>
    </w:p>
    <w:p w:rsidR="0037363F" w:rsidRDefault="0037363F">
      <w:pPr>
        <w:spacing w:after="0"/>
        <w:jc w:val="left"/>
        <w:rPr>
          <w:rFonts w:asciiTheme="majorHAnsi" w:hAnsiTheme="majorHAnsi" w:cstheme="majorHAnsi"/>
          <w:b/>
        </w:rPr>
      </w:pPr>
    </w:p>
    <w:tbl>
      <w:tblPr>
        <w:tblStyle w:val="Grilledutableau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121"/>
        <w:gridCol w:w="2268"/>
      </w:tblGrid>
      <w:tr w:rsidR="0037363F">
        <w:trPr>
          <w:trHeight w:val="534"/>
        </w:trPr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7363F" w:rsidRDefault="00BA507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Champ de reconnaissances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7363F" w:rsidRDefault="00BA507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HUMANITÉS</w:t>
            </w:r>
          </w:p>
        </w:tc>
      </w:tr>
      <w:tr w:rsidR="0037363F">
        <w:trPr>
          <w:trHeight w:val="534"/>
        </w:trPr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363F" w:rsidRDefault="00BA507C">
            <w:pPr>
              <w:spacing w:after="0"/>
              <w:jc w:val="lef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Année universitaire de reconnaissance des activités extracurriculaires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63F" w:rsidRDefault="0037363F">
            <w:pPr>
              <w:spacing w:after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37363F">
        <w:trPr>
          <w:trHeight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63F" w:rsidRDefault="00BA507C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63F" w:rsidRDefault="00BA507C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Prénom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63F" w:rsidRDefault="00BA507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DPT / Année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7363F" w:rsidRDefault="00BA507C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N° étudiant</w:t>
            </w:r>
          </w:p>
        </w:tc>
      </w:tr>
      <w:tr w:rsidR="0037363F"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363F" w:rsidRDefault="0037363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363F" w:rsidRDefault="0037363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7363F" w:rsidRDefault="0037363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7363F" w:rsidRDefault="0037363F">
            <w:pPr>
              <w:rPr>
                <w:rFonts w:asciiTheme="majorHAnsi" w:hAnsiTheme="majorHAnsi" w:cstheme="majorHAnsi"/>
              </w:rPr>
            </w:pPr>
          </w:p>
        </w:tc>
      </w:tr>
    </w:tbl>
    <w:p w:rsidR="0037363F" w:rsidRDefault="0037363F">
      <w:pPr>
        <w:rPr>
          <w:rFonts w:asciiTheme="majorHAnsi" w:hAnsiTheme="majorHAnsi" w:cstheme="majorHAnsi"/>
        </w:rPr>
      </w:pPr>
    </w:p>
    <w:sectPr w:rsidR="0037363F">
      <w:headerReference w:type="default" r:id="rId10"/>
      <w:footerReference w:type="default" r:id="rId11"/>
      <w:pgSz w:w="11906" w:h="16838"/>
      <w:pgMar w:top="1005" w:right="1417" w:bottom="1135" w:left="1417" w:header="3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7C" w:rsidRDefault="00BA507C">
      <w:pPr>
        <w:spacing w:after="0"/>
      </w:pPr>
      <w:r>
        <w:separator/>
      </w:r>
    </w:p>
  </w:endnote>
  <w:endnote w:type="continuationSeparator" w:id="0">
    <w:p w:rsidR="00BA507C" w:rsidRDefault="00BA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Symbo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3F" w:rsidRDefault="00BA507C">
    <w:pPr>
      <w:pStyle w:val="Pieddepage"/>
      <w:rPr>
        <w:rFonts w:asciiTheme="majorHAnsi" w:hAnsiTheme="majorHAnsi" w:cstheme="majorHAnsi"/>
      </w:rPr>
    </w:pPr>
    <w:r>
      <w:rPr>
        <w:rFonts w:asciiTheme="majorHAnsi" w:hAnsiTheme="majorHAnsi" w:cstheme="majorHAnsi"/>
        <w:bCs/>
      </w:rPr>
      <w:tab/>
    </w:r>
    <w:r>
      <w:rPr>
        <w:rFonts w:asciiTheme="majorHAnsi" w:hAnsiTheme="majorHAnsi" w:cstheme="majorHAnsi"/>
        <w:bCs/>
      </w:rPr>
      <w:tab/>
    </w:r>
    <w:r>
      <w:rPr>
        <w:rFonts w:ascii="Calibri Light" w:hAnsi="Calibri Light" w:cs="Calibri Light"/>
        <w:bCs/>
      </w:rPr>
      <w:fldChar w:fldCharType="begin"/>
    </w:r>
    <w:r>
      <w:rPr>
        <w:rFonts w:ascii="Calibri Light" w:hAnsi="Calibri Light" w:cs="Calibri Light"/>
        <w:bCs/>
      </w:rPr>
      <w:instrText xml:space="preserve"> PAGE </w:instrText>
    </w:r>
    <w:r>
      <w:rPr>
        <w:rFonts w:ascii="Calibri Light" w:hAnsi="Calibri Light" w:cs="Calibri Light"/>
        <w:bCs/>
      </w:rPr>
      <w:fldChar w:fldCharType="separate"/>
    </w:r>
    <w:r>
      <w:rPr>
        <w:rFonts w:ascii="Calibri Light" w:hAnsi="Calibri Light" w:cs="Calibri Light"/>
        <w:bCs/>
      </w:rPr>
      <w:t>1</w:t>
    </w:r>
    <w:r>
      <w:rPr>
        <w:rFonts w:ascii="Calibri Light" w:hAnsi="Calibri Light" w:cs="Calibri Light"/>
        <w:bCs/>
      </w:rPr>
      <w:fldChar w:fldCharType="end"/>
    </w:r>
    <w:r>
      <w:rPr>
        <w:rFonts w:asciiTheme="majorHAnsi" w:hAnsiTheme="majorHAnsi" w:cstheme="majorHAnsi"/>
      </w:rPr>
      <w:t xml:space="preserve"> / </w:t>
    </w:r>
    <w:r>
      <w:rPr>
        <w:rFonts w:ascii="Calibri Light" w:hAnsi="Calibri Light" w:cs="Calibri Light"/>
        <w:bCs/>
      </w:rPr>
      <w:fldChar w:fldCharType="begin"/>
    </w:r>
    <w:r>
      <w:rPr>
        <w:rFonts w:ascii="Calibri Light" w:hAnsi="Calibri Light" w:cs="Calibri Light"/>
        <w:bCs/>
      </w:rPr>
      <w:instrText xml:space="preserve"> NUMPAGES </w:instrText>
    </w:r>
    <w:r>
      <w:rPr>
        <w:rFonts w:ascii="Calibri Light" w:hAnsi="Calibri Light" w:cs="Calibri Light"/>
        <w:bCs/>
      </w:rPr>
      <w:fldChar w:fldCharType="separate"/>
    </w:r>
    <w:r>
      <w:rPr>
        <w:rFonts w:ascii="Calibri Light" w:hAnsi="Calibri Light" w:cs="Calibri Light"/>
        <w:bCs/>
      </w:rPr>
      <w:t>1</w:t>
    </w:r>
    <w:r>
      <w:rPr>
        <w:rFonts w:ascii="Calibri Light" w:hAnsi="Calibri Light" w:cs="Calibri Light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7C" w:rsidRDefault="00BA507C">
      <w:pPr>
        <w:spacing w:after="0"/>
      </w:pPr>
      <w:r>
        <w:separator/>
      </w:r>
    </w:p>
  </w:footnote>
  <w:footnote w:type="continuationSeparator" w:id="0">
    <w:p w:rsidR="00BA507C" w:rsidRDefault="00BA5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3F" w:rsidRDefault="00BA507C">
    <w:pPr>
      <w:pStyle w:val="En-tte"/>
      <w:tabs>
        <w:tab w:val="left" w:pos="5360"/>
      </w:tabs>
      <w:ind w:left="-1417"/>
      <w:rPr>
        <w:color w:val="FF0000"/>
      </w:rPr>
    </w:pPr>
    <w:r>
      <w:rPr>
        <w:noProof/>
      </w:rPr>
      <w:drawing>
        <wp:inline distT="0" distB="0" distL="0" distR="0">
          <wp:extent cx="2840990" cy="1104900"/>
          <wp:effectExtent l="0" t="0" r="0" b="0"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643" b="65988"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  <w:t>Direction de la Formation</w:t>
    </w:r>
    <w:bookmarkStart w:id="4" w:name="_Hlk84851155"/>
    <w:bookmarkStart w:id="5" w:name="_Hlk84851154"/>
  </w:p>
  <w:p w:rsidR="0037363F" w:rsidRDefault="00BA507C">
    <w:pPr>
      <w:pStyle w:val="En-tte"/>
      <w:ind w:left="-1417"/>
      <w:rPr>
        <w:rFonts w:asciiTheme="majorHAnsi" w:hAnsiTheme="majorHAnsi" w:cstheme="majorHAnsi"/>
        <w:i/>
        <w:color w:val="000000" w:themeColor="text1"/>
        <w:sz w:val="18"/>
      </w:rPr>
    </w:pPr>
    <w:r>
      <w:rPr>
        <w:color w:val="FF0000"/>
      </w:rPr>
      <w:tab/>
    </w:r>
    <w:r>
      <w:rPr>
        <w:color w:val="FF0000"/>
      </w:rPr>
      <w:tab/>
    </w:r>
    <w:r>
      <w:rPr>
        <w:rFonts w:asciiTheme="majorHAnsi" w:hAnsiTheme="majorHAnsi" w:cstheme="majorHAnsi"/>
        <w:i/>
        <w:color w:val="000000" w:themeColor="text1"/>
        <w:sz w:val="18"/>
      </w:rPr>
      <w:t>Mise à jour le 27/09/2022</w:t>
    </w:r>
    <w:bookmarkEnd w:id="4"/>
    <w:bookmarkEnd w:id="5"/>
  </w:p>
  <w:p w:rsidR="0037363F" w:rsidRDefault="0037363F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73709"/>
    <w:multiLevelType w:val="multilevel"/>
    <w:tmpl w:val="4BF211D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5D4CBC"/>
    <w:multiLevelType w:val="multilevel"/>
    <w:tmpl w:val="02BC27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A96C1F"/>
    <w:multiLevelType w:val="multilevel"/>
    <w:tmpl w:val="611CF9E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F"/>
    <w:rsid w:val="0037363F"/>
    <w:rsid w:val="00514A64"/>
    <w:rsid w:val="00B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CC82-26BD-4052-8A7E-98E3D6EA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3A"/>
    <w:pPr>
      <w:spacing w:after="120"/>
      <w:jc w:val="both"/>
    </w:p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30B3A"/>
    <w:pPr>
      <w:keepNext/>
      <w:keepLines/>
      <w:numPr>
        <w:numId w:val="1"/>
      </w:numPr>
      <w:spacing w:before="120" w:after="60"/>
      <w:outlineLvl w:val="1"/>
    </w:pPr>
    <w:rPr>
      <w:rFonts w:ascii="Calibri" w:eastAsiaTheme="majorEastAsia" w:hAnsi="Calibri" w:cstheme="majorBidi"/>
      <w:color w:val="2E74B5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630B3A"/>
    <w:rPr>
      <w:rFonts w:ascii="Calibri" w:eastAsiaTheme="majorEastAsia" w:hAnsi="Calibri" w:cstheme="majorBidi"/>
      <w:color w:val="2E74B5" w:themeColor="accent1" w:themeShade="BF"/>
      <w:szCs w:val="26"/>
    </w:rPr>
  </w:style>
  <w:style w:type="character" w:customStyle="1" w:styleId="En-tteCar">
    <w:name w:val="En-tête Car"/>
    <w:basedOn w:val="Policepardfaut"/>
    <w:uiPriority w:val="99"/>
    <w:qFormat/>
    <w:rsid w:val="00F7286F"/>
  </w:style>
  <w:style w:type="character" w:customStyle="1" w:styleId="PieddepageCar">
    <w:name w:val="Pied de page Car"/>
    <w:basedOn w:val="Policepardfaut"/>
    <w:link w:val="Pieddepage"/>
    <w:uiPriority w:val="99"/>
    <w:qFormat/>
    <w:rsid w:val="00F7286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6D4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B875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9C336E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7286F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F7286F"/>
    <w:pPr>
      <w:tabs>
        <w:tab w:val="center" w:pos="4536"/>
        <w:tab w:val="right" w:pos="9072"/>
      </w:tabs>
      <w:spacing w:after="0"/>
    </w:pPr>
  </w:style>
  <w:style w:type="paragraph" w:styleId="Paragraphedeliste">
    <w:name w:val="List Paragraph"/>
    <w:basedOn w:val="Normal"/>
    <w:uiPriority w:val="34"/>
    <w:qFormat/>
    <w:rsid w:val="000A62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6D43"/>
    <w:pPr>
      <w:spacing w:after="0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table" w:styleId="Grilledutableau">
    <w:name w:val="Table Grid"/>
    <w:basedOn w:val="TableauNormal"/>
    <w:uiPriority w:val="39"/>
    <w:rsid w:val="0074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adjoint.formation@insa-lyo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h@insa-lyon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f@insa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rouaud</dc:creator>
  <dc:description/>
  <cp:lastModifiedBy>Chantal Rouaud</cp:lastModifiedBy>
  <cp:revision>2</cp:revision>
  <cp:lastPrinted>2022-08-31T12:14:00Z</cp:lastPrinted>
  <dcterms:created xsi:type="dcterms:W3CDTF">2022-10-05T13:15:00Z</dcterms:created>
  <dcterms:modified xsi:type="dcterms:W3CDTF">2022-10-05T13:15:00Z</dcterms:modified>
  <dc:language>fr-FR</dc:language>
</cp:coreProperties>
</file>