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3B5" w:rsidRPr="001928A9" w:rsidRDefault="00092502" w:rsidP="001928A9">
      <w:pPr>
        <w:jc w:val="center"/>
        <w:rPr>
          <w:b/>
        </w:rPr>
      </w:pPr>
      <w:r>
        <w:rPr>
          <w:b/>
        </w:rPr>
        <w:t>COR</w:t>
      </w:r>
      <w:bookmarkStart w:id="0" w:name="_GoBack"/>
      <w:bookmarkEnd w:id="0"/>
      <w:r w:rsidR="001928A9" w:rsidRPr="001928A9">
        <w:rPr>
          <w:b/>
        </w:rPr>
        <w:t xml:space="preserve"> </w:t>
      </w:r>
      <w:r>
        <w:rPr>
          <w:b/>
        </w:rPr>
        <w:t>1 ISS</w:t>
      </w:r>
      <w:r w:rsidR="001928A9" w:rsidRPr="001928A9">
        <w:rPr>
          <w:b/>
        </w:rPr>
        <w:t xml:space="preserve"> – Stabilité de pentes</w:t>
      </w:r>
    </w:p>
    <w:p w:rsidR="001928A9" w:rsidRDefault="001928A9"/>
    <w:p w:rsidR="001928A9" w:rsidRDefault="001928A9"/>
    <w:p w:rsidR="001928A9" w:rsidRPr="00FD4116" w:rsidRDefault="001928A9" w:rsidP="001928A9">
      <w:pPr>
        <w:rPr>
          <w:b/>
          <w:u w:val="single"/>
        </w:rPr>
      </w:pPr>
      <w:r w:rsidRPr="00FD4116">
        <w:rPr>
          <w:b/>
          <w:u w:val="single"/>
        </w:rPr>
        <w:t xml:space="preserve">Exercice </w:t>
      </w:r>
      <w:r>
        <w:rPr>
          <w:b/>
          <w:u w:val="single"/>
        </w:rPr>
        <w:t>1</w:t>
      </w:r>
    </w:p>
    <w:p w:rsidR="001928A9" w:rsidRPr="00AE3F5C" w:rsidRDefault="001928A9" w:rsidP="001928A9">
      <w:pPr>
        <w:rPr>
          <w:b/>
          <w:sz w:val="24"/>
          <w:szCs w:val="24"/>
          <w:u w:val="single"/>
        </w:rPr>
      </w:pPr>
    </w:p>
    <w:p w:rsidR="001928A9" w:rsidRDefault="001928A9" w:rsidP="001928A9">
      <w:pPr>
        <w:jc w:val="both"/>
      </w:pPr>
    </w:p>
    <w:p w:rsidR="001928A9" w:rsidRDefault="001928A9" w:rsidP="001928A9">
      <w:pPr>
        <w:numPr>
          <w:ilvl w:val="0"/>
          <w:numId w:val="1"/>
        </w:numPr>
        <w:rPr>
          <w:color w:val="385623" w:themeColor="accent6" w:themeShade="80"/>
        </w:rPr>
      </w:pPr>
      <w:r w:rsidRPr="00C31183">
        <w:rPr>
          <w:color w:val="385623" w:themeColor="accent6" w:themeShade="80"/>
        </w:rPr>
        <w:t xml:space="preserve">Déterminer le coefficient de sécurité par la méthode de </w:t>
      </w:r>
      <w:proofErr w:type="spellStart"/>
      <w:r w:rsidRPr="00C31183">
        <w:rPr>
          <w:color w:val="385623" w:themeColor="accent6" w:themeShade="80"/>
        </w:rPr>
        <w:t>Fellenius</w:t>
      </w:r>
      <w:proofErr w:type="spellEnd"/>
      <w:r w:rsidRPr="00C31183">
        <w:rPr>
          <w:color w:val="385623" w:themeColor="accent6" w:themeShade="80"/>
        </w:rPr>
        <w:t>.</w:t>
      </w:r>
    </w:p>
    <w:p w:rsidR="00FC669E" w:rsidRDefault="00FC669E" w:rsidP="00FC669E">
      <w:pPr>
        <w:rPr>
          <w:color w:val="385623" w:themeColor="accent6" w:themeShade="80"/>
        </w:rPr>
      </w:pPr>
    </w:p>
    <w:p w:rsidR="00FC669E" w:rsidRDefault="00FC669E" w:rsidP="00FC669E">
      <w:pPr>
        <w:rPr>
          <w:color w:val="385623" w:themeColor="accent6" w:themeShade="80"/>
        </w:rPr>
      </w:pPr>
    </w:p>
    <w:p w:rsidR="00FC669E" w:rsidRPr="00C31183" w:rsidRDefault="00FC669E" w:rsidP="00FC669E">
      <w:pPr>
        <w:rPr>
          <w:color w:val="385623" w:themeColor="accent6" w:themeShade="80"/>
        </w:rPr>
      </w:pPr>
      <m:oMathPara>
        <m:oMath>
          <m:r>
            <w:rPr>
              <w:rFonts w:ascii="Cambria Math" w:hAnsi="Cambria Math"/>
              <w:color w:val="385623" w:themeColor="accent6" w:themeShade="80"/>
            </w:rPr>
            <m:t>F=</m:t>
          </m:r>
          <m:f>
            <m:fPr>
              <m:ctrlPr>
                <w:rPr>
                  <w:rFonts w:ascii="Cambria Math" w:hAnsi="Cambria Math"/>
                  <w:i/>
                  <w:color w:val="385623" w:themeColor="accent6" w:themeShade="80"/>
                </w:rPr>
              </m:ctrlPr>
            </m:fPr>
            <m:num>
              <m:nary>
                <m:naryPr>
                  <m:chr m:val="∑"/>
                  <m:limLoc m:val="undOvr"/>
                  <m:ctrlPr>
                    <w:rPr>
                      <w:rFonts w:ascii="Cambria Math" w:hAnsi="Cambria Math"/>
                      <w:i/>
                      <w:color w:val="385623" w:themeColor="accent6" w:themeShade="80"/>
                    </w:rPr>
                  </m:ctrlPr>
                </m:naryPr>
                <m:sub>
                  <m:r>
                    <w:rPr>
                      <w:rFonts w:ascii="Cambria Math" w:hAnsi="Cambria Math"/>
                      <w:color w:val="385623" w:themeColor="accent6" w:themeShade="80"/>
                    </w:rPr>
                    <m:t>1</m:t>
                  </m:r>
                </m:sub>
                <m:sup>
                  <m:r>
                    <w:rPr>
                      <w:rFonts w:ascii="Cambria Math" w:hAnsi="Cambria Math"/>
                      <w:color w:val="385623" w:themeColor="accent6" w:themeShade="80"/>
                    </w:rPr>
                    <m:t>n</m:t>
                  </m:r>
                </m:sup>
                <m:e>
                  <m:d>
                    <m:dPr>
                      <m:begChr m:val="["/>
                      <m:endChr m:val="]"/>
                      <m:ctrlPr>
                        <w:rPr>
                          <w:rFonts w:ascii="Cambria Math" w:hAnsi="Cambria Math"/>
                          <w:i/>
                          <w:color w:val="385623" w:themeColor="accent6" w:themeShade="80"/>
                        </w:rPr>
                      </m:ctrlPr>
                    </m:dPr>
                    <m:e>
                      <m:d>
                        <m:dPr>
                          <m:ctrlPr>
                            <w:rPr>
                              <w:rFonts w:ascii="Cambria Math" w:hAnsi="Cambria Math"/>
                              <w:i/>
                              <w:color w:val="385623" w:themeColor="accent6" w:themeShade="80"/>
                            </w:rPr>
                          </m:ctrlPr>
                        </m:dPr>
                        <m:e>
                          <m:sSub>
                            <m:sSubPr>
                              <m:ctrlPr>
                                <w:rPr>
                                  <w:rFonts w:ascii="Cambria Math" w:hAnsi="Cambria Math"/>
                                  <w:i/>
                                  <w:color w:val="385623" w:themeColor="accent6" w:themeShade="80"/>
                                </w:rPr>
                              </m:ctrlPr>
                            </m:sSubPr>
                            <m:e>
                              <m:r>
                                <w:rPr>
                                  <w:rFonts w:ascii="Cambria Math" w:hAnsi="Cambria Math"/>
                                  <w:color w:val="385623" w:themeColor="accent6" w:themeShade="80"/>
                                </w:rPr>
                                <m:t>W</m:t>
                              </m:r>
                            </m:e>
                            <m:sub>
                              <m:r>
                                <w:rPr>
                                  <w:rFonts w:ascii="Cambria Math" w:hAnsi="Cambria Math"/>
                                  <w:color w:val="385623" w:themeColor="accent6" w:themeShade="80"/>
                                </w:rPr>
                                <m:t>i</m:t>
                              </m:r>
                            </m:sub>
                          </m:sSub>
                          <m:r>
                            <w:rPr>
                              <w:rFonts w:ascii="Cambria Math" w:hAnsi="Cambria Math"/>
                              <w:color w:val="385623" w:themeColor="accent6" w:themeShade="80"/>
                            </w:rPr>
                            <m:t>cos</m:t>
                          </m:r>
                          <m:sSub>
                            <m:sSubPr>
                              <m:ctrlPr>
                                <w:rPr>
                                  <w:rFonts w:ascii="Cambria Math" w:hAnsi="Cambria Math"/>
                                  <w:i/>
                                  <w:color w:val="385623" w:themeColor="accent6" w:themeShade="80"/>
                                </w:rPr>
                              </m:ctrlPr>
                            </m:sSubPr>
                            <m:e>
                              <m:r>
                                <w:rPr>
                                  <w:rFonts w:ascii="Cambria Math" w:hAnsi="Cambria Math"/>
                                  <w:color w:val="385623" w:themeColor="accent6" w:themeShade="80"/>
                                </w:rPr>
                                <m:t>θ</m:t>
                              </m:r>
                            </m:e>
                            <m:sub>
                              <m:r>
                                <w:rPr>
                                  <w:rFonts w:ascii="Cambria Math" w:hAnsi="Cambria Math"/>
                                  <w:color w:val="385623" w:themeColor="accent6" w:themeShade="80"/>
                                </w:rPr>
                                <m:t>i</m:t>
                              </m:r>
                            </m:sub>
                          </m:sSub>
                          <m:r>
                            <w:rPr>
                              <w:rFonts w:ascii="Cambria Math" w:hAnsi="Cambria Math"/>
                              <w:color w:val="385623" w:themeColor="accent6" w:themeShade="80"/>
                            </w:rPr>
                            <m:t>-</m:t>
                          </m:r>
                          <m:f>
                            <m:fPr>
                              <m:ctrlPr>
                                <w:rPr>
                                  <w:rFonts w:ascii="Cambria Math" w:hAnsi="Cambria Math"/>
                                  <w:i/>
                                  <w:color w:val="385623" w:themeColor="accent6" w:themeShade="80"/>
                                </w:rPr>
                              </m:ctrlPr>
                            </m:fPr>
                            <m:num>
                              <m:sSub>
                                <m:sSubPr>
                                  <m:ctrlPr>
                                    <w:rPr>
                                      <w:rFonts w:ascii="Cambria Math" w:hAnsi="Cambria Math"/>
                                      <w:i/>
                                      <w:color w:val="385623" w:themeColor="accent6" w:themeShade="80"/>
                                    </w:rPr>
                                  </m:ctrlPr>
                                </m:sSubPr>
                                <m:e>
                                  <m:r>
                                    <w:rPr>
                                      <w:rFonts w:ascii="Cambria Math" w:hAnsi="Cambria Math"/>
                                      <w:color w:val="385623" w:themeColor="accent6" w:themeShade="80"/>
                                    </w:rPr>
                                    <m:t>u</m:t>
                                  </m:r>
                                </m:e>
                                <m:sub>
                                  <m:r>
                                    <w:rPr>
                                      <w:rFonts w:ascii="Cambria Math" w:hAnsi="Cambria Math"/>
                                      <w:color w:val="385623" w:themeColor="accent6" w:themeShade="80"/>
                                    </w:rPr>
                                    <m:t>i</m:t>
                                  </m:r>
                                </m:sub>
                              </m:sSub>
                              <m:sSub>
                                <m:sSubPr>
                                  <m:ctrlPr>
                                    <w:rPr>
                                      <w:rFonts w:ascii="Cambria Math" w:hAnsi="Cambria Math"/>
                                      <w:i/>
                                      <w:color w:val="385623" w:themeColor="accent6" w:themeShade="80"/>
                                    </w:rPr>
                                  </m:ctrlPr>
                                </m:sSubPr>
                                <m:e>
                                  <m:r>
                                    <w:rPr>
                                      <w:rFonts w:ascii="Cambria Math" w:hAnsi="Cambria Math"/>
                                      <w:color w:val="385623" w:themeColor="accent6" w:themeShade="80"/>
                                    </w:rPr>
                                    <m:t>b</m:t>
                                  </m:r>
                                </m:e>
                                <m:sub>
                                  <m:r>
                                    <w:rPr>
                                      <w:rFonts w:ascii="Cambria Math" w:hAnsi="Cambria Math"/>
                                      <w:color w:val="385623" w:themeColor="accent6" w:themeShade="80"/>
                                    </w:rPr>
                                    <m:t>i</m:t>
                                  </m:r>
                                </m:sub>
                              </m:sSub>
                            </m:num>
                            <m:den>
                              <m:r>
                                <w:rPr>
                                  <w:rFonts w:ascii="Cambria Math" w:hAnsi="Cambria Math"/>
                                  <w:color w:val="385623" w:themeColor="accent6" w:themeShade="80"/>
                                </w:rPr>
                                <m:t>cos</m:t>
                              </m:r>
                              <m:sSub>
                                <m:sSubPr>
                                  <m:ctrlPr>
                                    <w:rPr>
                                      <w:rFonts w:ascii="Cambria Math" w:hAnsi="Cambria Math"/>
                                      <w:i/>
                                      <w:color w:val="385623" w:themeColor="accent6" w:themeShade="80"/>
                                    </w:rPr>
                                  </m:ctrlPr>
                                </m:sSubPr>
                                <m:e>
                                  <m:r>
                                    <w:rPr>
                                      <w:rFonts w:ascii="Cambria Math" w:hAnsi="Cambria Math"/>
                                      <w:color w:val="385623" w:themeColor="accent6" w:themeShade="80"/>
                                    </w:rPr>
                                    <m:t>θ</m:t>
                                  </m:r>
                                </m:e>
                                <m:sub>
                                  <m:r>
                                    <w:rPr>
                                      <w:rFonts w:ascii="Cambria Math" w:hAnsi="Cambria Math"/>
                                      <w:color w:val="385623" w:themeColor="accent6" w:themeShade="80"/>
                                    </w:rPr>
                                    <m:t>i</m:t>
                                  </m:r>
                                </m:sub>
                              </m:sSub>
                            </m:den>
                          </m:f>
                        </m:e>
                      </m:d>
                      <m:r>
                        <w:rPr>
                          <w:rFonts w:ascii="Cambria Math" w:hAnsi="Cambria Math"/>
                          <w:color w:val="385623" w:themeColor="accent6" w:themeShade="80"/>
                        </w:rPr>
                        <m:t>tan</m:t>
                      </m:r>
                      <m:sSub>
                        <m:sSubPr>
                          <m:ctrlPr>
                            <w:rPr>
                              <w:rFonts w:ascii="Cambria Math" w:hAnsi="Cambria Math"/>
                              <w:i/>
                              <w:color w:val="385623" w:themeColor="accent6" w:themeShade="80"/>
                            </w:rPr>
                          </m:ctrlPr>
                        </m:sSubPr>
                        <m:e>
                          <m:r>
                            <w:rPr>
                              <w:rFonts w:ascii="Cambria Math" w:hAnsi="Cambria Math"/>
                              <w:color w:val="385623" w:themeColor="accent6" w:themeShade="80"/>
                            </w:rPr>
                            <m:t>φ'</m:t>
                          </m:r>
                        </m:e>
                        <m:sub>
                          <m:r>
                            <w:rPr>
                              <w:rFonts w:ascii="Cambria Math" w:hAnsi="Cambria Math"/>
                              <w:color w:val="385623" w:themeColor="accent6" w:themeShade="80"/>
                            </w:rPr>
                            <m:t>i</m:t>
                          </m:r>
                        </m:sub>
                      </m:sSub>
                      <m:r>
                        <w:rPr>
                          <w:rFonts w:ascii="Cambria Math" w:hAnsi="Cambria Math"/>
                          <w:color w:val="385623" w:themeColor="accent6" w:themeShade="80"/>
                        </w:rPr>
                        <m:t>+</m:t>
                      </m:r>
                      <m:f>
                        <m:fPr>
                          <m:ctrlPr>
                            <w:rPr>
                              <w:rFonts w:ascii="Cambria Math" w:hAnsi="Cambria Math"/>
                              <w:i/>
                              <w:color w:val="385623" w:themeColor="accent6" w:themeShade="80"/>
                            </w:rPr>
                          </m:ctrlPr>
                        </m:fPr>
                        <m:num>
                          <m:sSub>
                            <m:sSubPr>
                              <m:ctrlPr>
                                <w:rPr>
                                  <w:rFonts w:ascii="Cambria Math" w:hAnsi="Cambria Math"/>
                                  <w:i/>
                                  <w:color w:val="385623" w:themeColor="accent6" w:themeShade="80"/>
                                </w:rPr>
                              </m:ctrlPr>
                            </m:sSubPr>
                            <m:e>
                              <m:r>
                                <w:rPr>
                                  <w:rFonts w:ascii="Cambria Math" w:hAnsi="Cambria Math"/>
                                  <w:color w:val="385623" w:themeColor="accent6" w:themeShade="80"/>
                                </w:rPr>
                                <m:t>c'</m:t>
                              </m:r>
                            </m:e>
                            <m:sub>
                              <m:r>
                                <w:rPr>
                                  <w:rFonts w:ascii="Cambria Math" w:hAnsi="Cambria Math"/>
                                  <w:color w:val="385623" w:themeColor="accent6" w:themeShade="80"/>
                                </w:rPr>
                                <m:t>i</m:t>
                              </m:r>
                            </m:sub>
                          </m:sSub>
                          <m:sSub>
                            <m:sSubPr>
                              <m:ctrlPr>
                                <w:rPr>
                                  <w:rFonts w:ascii="Cambria Math" w:hAnsi="Cambria Math"/>
                                  <w:i/>
                                  <w:color w:val="385623" w:themeColor="accent6" w:themeShade="80"/>
                                </w:rPr>
                              </m:ctrlPr>
                            </m:sSubPr>
                            <m:e>
                              <m:r>
                                <w:rPr>
                                  <w:rFonts w:ascii="Cambria Math" w:hAnsi="Cambria Math"/>
                                  <w:color w:val="385623" w:themeColor="accent6" w:themeShade="80"/>
                                </w:rPr>
                                <m:t>b</m:t>
                              </m:r>
                            </m:e>
                            <m:sub>
                              <m:r>
                                <w:rPr>
                                  <w:rFonts w:ascii="Cambria Math" w:hAnsi="Cambria Math"/>
                                  <w:color w:val="385623" w:themeColor="accent6" w:themeShade="80"/>
                                </w:rPr>
                                <m:t>i</m:t>
                              </m:r>
                            </m:sub>
                          </m:sSub>
                        </m:num>
                        <m:den>
                          <m:r>
                            <w:rPr>
                              <w:rFonts w:ascii="Cambria Math" w:hAnsi="Cambria Math"/>
                              <w:color w:val="385623" w:themeColor="accent6" w:themeShade="80"/>
                            </w:rPr>
                            <m:t>cos</m:t>
                          </m:r>
                          <m:sSub>
                            <m:sSubPr>
                              <m:ctrlPr>
                                <w:rPr>
                                  <w:rFonts w:ascii="Cambria Math" w:hAnsi="Cambria Math"/>
                                  <w:i/>
                                  <w:color w:val="385623" w:themeColor="accent6" w:themeShade="80"/>
                                </w:rPr>
                              </m:ctrlPr>
                            </m:sSubPr>
                            <m:e>
                              <m:r>
                                <w:rPr>
                                  <w:rFonts w:ascii="Cambria Math" w:hAnsi="Cambria Math"/>
                                  <w:color w:val="385623" w:themeColor="accent6" w:themeShade="80"/>
                                </w:rPr>
                                <m:t>θ</m:t>
                              </m:r>
                            </m:e>
                            <m:sub>
                              <m:r>
                                <w:rPr>
                                  <w:rFonts w:ascii="Cambria Math" w:hAnsi="Cambria Math"/>
                                  <w:color w:val="385623" w:themeColor="accent6" w:themeShade="80"/>
                                </w:rPr>
                                <m:t>i</m:t>
                              </m:r>
                            </m:sub>
                          </m:sSub>
                        </m:den>
                      </m:f>
                    </m:e>
                  </m:d>
                </m:e>
              </m:nary>
            </m:num>
            <m:den>
              <m:nary>
                <m:naryPr>
                  <m:chr m:val="∑"/>
                  <m:limLoc m:val="subSup"/>
                  <m:ctrlPr>
                    <w:rPr>
                      <w:rFonts w:ascii="Cambria Math" w:hAnsi="Cambria Math"/>
                      <w:i/>
                      <w:color w:val="385623" w:themeColor="accent6" w:themeShade="80"/>
                    </w:rPr>
                  </m:ctrlPr>
                </m:naryPr>
                <m:sub>
                  <m:r>
                    <w:rPr>
                      <w:rFonts w:ascii="Cambria Math" w:hAnsi="Cambria Math"/>
                      <w:color w:val="385623" w:themeColor="accent6" w:themeShade="80"/>
                    </w:rPr>
                    <m:t>1</m:t>
                  </m:r>
                </m:sub>
                <m:sup>
                  <m:r>
                    <w:rPr>
                      <w:rFonts w:ascii="Cambria Math" w:hAnsi="Cambria Math"/>
                      <w:color w:val="385623" w:themeColor="accent6" w:themeShade="80"/>
                    </w:rPr>
                    <m:t>n</m:t>
                  </m:r>
                </m:sup>
                <m:e>
                  <m:sSub>
                    <m:sSubPr>
                      <m:ctrlPr>
                        <w:rPr>
                          <w:rFonts w:ascii="Cambria Math" w:hAnsi="Cambria Math"/>
                          <w:i/>
                          <w:color w:val="385623" w:themeColor="accent6" w:themeShade="80"/>
                        </w:rPr>
                      </m:ctrlPr>
                    </m:sSubPr>
                    <m:e>
                      <m:r>
                        <w:rPr>
                          <w:rFonts w:ascii="Cambria Math" w:hAnsi="Cambria Math"/>
                          <w:color w:val="385623" w:themeColor="accent6" w:themeShade="80"/>
                        </w:rPr>
                        <m:t>W</m:t>
                      </m:r>
                    </m:e>
                    <m:sub>
                      <m:r>
                        <w:rPr>
                          <w:rFonts w:ascii="Cambria Math" w:hAnsi="Cambria Math"/>
                          <w:color w:val="385623" w:themeColor="accent6" w:themeShade="80"/>
                        </w:rPr>
                        <m:t>i</m:t>
                      </m:r>
                    </m:sub>
                  </m:sSub>
                  <m:r>
                    <w:rPr>
                      <w:rFonts w:ascii="Cambria Math" w:hAnsi="Cambria Math"/>
                      <w:color w:val="385623" w:themeColor="accent6" w:themeShade="80"/>
                    </w:rPr>
                    <m:t>sin</m:t>
                  </m:r>
                  <m:sSub>
                    <m:sSubPr>
                      <m:ctrlPr>
                        <w:rPr>
                          <w:rFonts w:ascii="Cambria Math" w:hAnsi="Cambria Math"/>
                          <w:i/>
                          <w:color w:val="385623" w:themeColor="accent6" w:themeShade="80"/>
                        </w:rPr>
                      </m:ctrlPr>
                    </m:sSubPr>
                    <m:e>
                      <m:r>
                        <w:rPr>
                          <w:rFonts w:ascii="Cambria Math" w:hAnsi="Cambria Math"/>
                          <w:color w:val="385623" w:themeColor="accent6" w:themeShade="80"/>
                        </w:rPr>
                        <m:t>θ</m:t>
                      </m:r>
                    </m:e>
                    <m:sub>
                      <m:r>
                        <w:rPr>
                          <w:rFonts w:ascii="Cambria Math" w:hAnsi="Cambria Math"/>
                          <w:color w:val="385623" w:themeColor="accent6" w:themeShade="80"/>
                        </w:rPr>
                        <m:t>i</m:t>
                      </m:r>
                    </m:sub>
                  </m:sSub>
                </m:e>
              </m:nary>
            </m:den>
          </m:f>
          <m:r>
            <w:rPr>
              <w:rFonts w:ascii="Cambria Math" w:hAnsi="Cambria Math"/>
              <w:color w:val="385623" w:themeColor="accent6" w:themeShade="80"/>
            </w:rPr>
            <m:t>=</m:t>
          </m:r>
          <m:f>
            <m:fPr>
              <m:ctrlPr>
                <w:rPr>
                  <w:rFonts w:ascii="Cambria Math" w:hAnsi="Cambria Math"/>
                  <w:i/>
                  <w:color w:val="385623" w:themeColor="accent6" w:themeShade="80"/>
                </w:rPr>
              </m:ctrlPr>
            </m:fPr>
            <m:num>
              <m:nary>
                <m:naryPr>
                  <m:chr m:val="∑"/>
                  <m:limLoc m:val="undOvr"/>
                  <m:ctrlPr>
                    <w:rPr>
                      <w:rFonts w:ascii="Cambria Math" w:hAnsi="Cambria Math"/>
                      <w:i/>
                      <w:color w:val="385623" w:themeColor="accent6" w:themeShade="80"/>
                    </w:rPr>
                  </m:ctrlPr>
                </m:naryPr>
                <m:sub>
                  <m:r>
                    <w:rPr>
                      <w:rFonts w:ascii="Cambria Math" w:hAnsi="Cambria Math"/>
                      <w:color w:val="385623" w:themeColor="accent6" w:themeShade="80"/>
                    </w:rPr>
                    <m:t>1</m:t>
                  </m:r>
                </m:sub>
                <m:sup>
                  <m:r>
                    <w:rPr>
                      <w:rFonts w:ascii="Cambria Math" w:hAnsi="Cambria Math"/>
                      <w:color w:val="385623" w:themeColor="accent6" w:themeShade="80"/>
                    </w:rPr>
                    <m:t>n</m:t>
                  </m:r>
                </m:sup>
                <m:e>
                  <m:d>
                    <m:dPr>
                      <m:begChr m:val="["/>
                      <m:endChr m:val="]"/>
                      <m:ctrlPr>
                        <w:rPr>
                          <w:rFonts w:ascii="Cambria Math" w:hAnsi="Cambria Math"/>
                          <w:i/>
                          <w:color w:val="385623" w:themeColor="accent6" w:themeShade="80"/>
                        </w:rPr>
                      </m:ctrlPr>
                    </m:dPr>
                    <m:e>
                      <m:sSub>
                        <m:sSubPr>
                          <m:ctrlPr>
                            <w:rPr>
                              <w:rFonts w:ascii="Cambria Math" w:hAnsi="Cambria Math"/>
                              <w:i/>
                              <w:color w:val="385623" w:themeColor="accent6" w:themeShade="80"/>
                            </w:rPr>
                          </m:ctrlPr>
                        </m:sSubPr>
                        <m:e>
                          <m:r>
                            <w:rPr>
                              <w:rFonts w:ascii="Cambria Math" w:hAnsi="Cambria Math"/>
                              <w:color w:val="385623" w:themeColor="accent6" w:themeShade="80"/>
                            </w:rPr>
                            <m:t>W</m:t>
                          </m:r>
                        </m:e>
                        <m:sub>
                          <m:r>
                            <w:rPr>
                              <w:rFonts w:ascii="Cambria Math" w:hAnsi="Cambria Math"/>
                              <w:color w:val="385623" w:themeColor="accent6" w:themeShade="80"/>
                            </w:rPr>
                            <m:t>i</m:t>
                          </m:r>
                        </m:sub>
                      </m:sSub>
                      <m:r>
                        <w:rPr>
                          <w:rFonts w:ascii="Cambria Math" w:hAnsi="Cambria Math"/>
                          <w:color w:val="385623" w:themeColor="accent6" w:themeShade="80"/>
                        </w:rPr>
                        <m:t>cos</m:t>
                      </m:r>
                      <m:sSub>
                        <m:sSubPr>
                          <m:ctrlPr>
                            <w:rPr>
                              <w:rFonts w:ascii="Cambria Math" w:hAnsi="Cambria Math"/>
                              <w:i/>
                              <w:color w:val="385623" w:themeColor="accent6" w:themeShade="80"/>
                            </w:rPr>
                          </m:ctrlPr>
                        </m:sSubPr>
                        <m:e>
                          <m:r>
                            <w:rPr>
                              <w:rFonts w:ascii="Cambria Math" w:hAnsi="Cambria Math"/>
                              <w:color w:val="385623" w:themeColor="accent6" w:themeShade="80"/>
                            </w:rPr>
                            <m:t>θ</m:t>
                          </m:r>
                        </m:e>
                        <m:sub>
                          <m:r>
                            <w:rPr>
                              <w:rFonts w:ascii="Cambria Math" w:hAnsi="Cambria Math"/>
                              <w:color w:val="385623" w:themeColor="accent6" w:themeShade="80"/>
                            </w:rPr>
                            <m:t>i</m:t>
                          </m:r>
                        </m:sub>
                      </m:sSub>
                      <m:r>
                        <w:rPr>
                          <w:rFonts w:ascii="Cambria Math" w:hAnsi="Cambria Math"/>
                          <w:color w:val="385623" w:themeColor="accent6" w:themeShade="80"/>
                        </w:rPr>
                        <m:t>tan</m:t>
                      </m:r>
                      <m:sSub>
                        <m:sSubPr>
                          <m:ctrlPr>
                            <w:rPr>
                              <w:rFonts w:ascii="Cambria Math" w:hAnsi="Cambria Math"/>
                              <w:i/>
                              <w:color w:val="385623" w:themeColor="accent6" w:themeShade="80"/>
                            </w:rPr>
                          </m:ctrlPr>
                        </m:sSubPr>
                        <m:e>
                          <m:r>
                            <w:rPr>
                              <w:rFonts w:ascii="Cambria Math" w:hAnsi="Cambria Math"/>
                              <w:color w:val="385623" w:themeColor="accent6" w:themeShade="80"/>
                            </w:rPr>
                            <m:t>φ'</m:t>
                          </m:r>
                        </m:e>
                        <m:sub>
                          <m:r>
                            <w:rPr>
                              <w:rFonts w:ascii="Cambria Math" w:hAnsi="Cambria Math"/>
                              <w:color w:val="385623" w:themeColor="accent6" w:themeShade="80"/>
                            </w:rPr>
                            <m:t>i</m:t>
                          </m:r>
                        </m:sub>
                      </m:sSub>
                      <m:r>
                        <w:rPr>
                          <w:rFonts w:ascii="Cambria Math" w:hAnsi="Cambria Math"/>
                          <w:color w:val="385623" w:themeColor="accent6" w:themeShade="80"/>
                        </w:rPr>
                        <m:t>+</m:t>
                      </m:r>
                      <m:f>
                        <m:fPr>
                          <m:ctrlPr>
                            <w:rPr>
                              <w:rFonts w:ascii="Cambria Math" w:hAnsi="Cambria Math"/>
                              <w:i/>
                              <w:color w:val="385623" w:themeColor="accent6" w:themeShade="80"/>
                            </w:rPr>
                          </m:ctrlPr>
                        </m:fPr>
                        <m:num>
                          <m:sSub>
                            <m:sSubPr>
                              <m:ctrlPr>
                                <w:rPr>
                                  <w:rFonts w:ascii="Cambria Math" w:hAnsi="Cambria Math"/>
                                  <w:i/>
                                  <w:color w:val="385623" w:themeColor="accent6" w:themeShade="80"/>
                                </w:rPr>
                              </m:ctrlPr>
                            </m:sSubPr>
                            <m:e>
                              <m:r>
                                <w:rPr>
                                  <w:rFonts w:ascii="Cambria Math" w:hAnsi="Cambria Math"/>
                                  <w:color w:val="385623" w:themeColor="accent6" w:themeShade="80"/>
                                </w:rPr>
                                <m:t>c'</m:t>
                              </m:r>
                            </m:e>
                            <m:sub>
                              <m:r>
                                <w:rPr>
                                  <w:rFonts w:ascii="Cambria Math" w:hAnsi="Cambria Math"/>
                                  <w:color w:val="385623" w:themeColor="accent6" w:themeShade="80"/>
                                </w:rPr>
                                <m:t>i</m:t>
                              </m:r>
                            </m:sub>
                          </m:sSub>
                          <m:sSub>
                            <m:sSubPr>
                              <m:ctrlPr>
                                <w:rPr>
                                  <w:rFonts w:ascii="Cambria Math" w:hAnsi="Cambria Math"/>
                                  <w:i/>
                                  <w:color w:val="385623" w:themeColor="accent6" w:themeShade="80"/>
                                </w:rPr>
                              </m:ctrlPr>
                            </m:sSubPr>
                            <m:e>
                              <m:r>
                                <w:rPr>
                                  <w:rFonts w:ascii="Cambria Math" w:hAnsi="Cambria Math"/>
                                  <w:color w:val="385623" w:themeColor="accent6" w:themeShade="80"/>
                                </w:rPr>
                                <m:t>b</m:t>
                              </m:r>
                            </m:e>
                            <m:sub>
                              <m:r>
                                <w:rPr>
                                  <w:rFonts w:ascii="Cambria Math" w:hAnsi="Cambria Math"/>
                                  <w:color w:val="385623" w:themeColor="accent6" w:themeShade="80"/>
                                </w:rPr>
                                <m:t>i</m:t>
                              </m:r>
                            </m:sub>
                          </m:sSub>
                        </m:num>
                        <m:den>
                          <m:r>
                            <w:rPr>
                              <w:rFonts w:ascii="Cambria Math" w:hAnsi="Cambria Math"/>
                              <w:color w:val="385623" w:themeColor="accent6" w:themeShade="80"/>
                            </w:rPr>
                            <m:t>cos</m:t>
                          </m:r>
                          <m:sSub>
                            <m:sSubPr>
                              <m:ctrlPr>
                                <w:rPr>
                                  <w:rFonts w:ascii="Cambria Math" w:hAnsi="Cambria Math"/>
                                  <w:i/>
                                  <w:color w:val="385623" w:themeColor="accent6" w:themeShade="80"/>
                                </w:rPr>
                              </m:ctrlPr>
                            </m:sSubPr>
                            <m:e>
                              <m:r>
                                <w:rPr>
                                  <w:rFonts w:ascii="Cambria Math" w:hAnsi="Cambria Math"/>
                                  <w:color w:val="385623" w:themeColor="accent6" w:themeShade="80"/>
                                </w:rPr>
                                <m:t>θ</m:t>
                              </m:r>
                            </m:e>
                            <m:sub>
                              <m:r>
                                <w:rPr>
                                  <w:rFonts w:ascii="Cambria Math" w:hAnsi="Cambria Math"/>
                                  <w:color w:val="385623" w:themeColor="accent6" w:themeShade="80"/>
                                </w:rPr>
                                <m:t>i</m:t>
                              </m:r>
                            </m:sub>
                          </m:sSub>
                        </m:den>
                      </m:f>
                    </m:e>
                  </m:d>
                </m:e>
              </m:nary>
            </m:num>
            <m:den>
              <m:nary>
                <m:naryPr>
                  <m:chr m:val="∑"/>
                  <m:limLoc m:val="subSup"/>
                  <m:ctrlPr>
                    <w:rPr>
                      <w:rFonts w:ascii="Cambria Math" w:hAnsi="Cambria Math"/>
                      <w:i/>
                      <w:color w:val="385623" w:themeColor="accent6" w:themeShade="80"/>
                    </w:rPr>
                  </m:ctrlPr>
                </m:naryPr>
                <m:sub>
                  <m:r>
                    <w:rPr>
                      <w:rFonts w:ascii="Cambria Math" w:hAnsi="Cambria Math"/>
                      <w:color w:val="385623" w:themeColor="accent6" w:themeShade="80"/>
                    </w:rPr>
                    <m:t>1</m:t>
                  </m:r>
                </m:sub>
                <m:sup>
                  <m:r>
                    <w:rPr>
                      <w:rFonts w:ascii="Cambria Math" w:hAnsi="Cambria Math"/>
                      <w:color w:val="385623" w:themeColor="accent6" w:themeShade="80"/>
                    </w:rPr>
                    <m:t>n</m:t>
                  </m:r>
                </m:sup>
                <m:e>
                  <m:sSub>
                    <m:sSubPr>
                      <m:ctrlPr>
                        <w:rPr>
                          <w:rFonts w:ascii="Cambria Math" w:hAnsi="Cambria Math"/>
                          <w:i/>
                          <w:color w:val="385623" w:themeColor="accent6" w:themeShade="80"/>
                        </w:rPr>
                      </m:ctrlPr>
                    </m:sSubPr>
                    <m:e>
                      <m:r>
                        <w:rPr>
                          <w:rFonts w:ascii="Cambria Math" w:hAnsi="Cambria Math"/>
                          <w:color w:val="385623" w:themeColor="accent6" w:themeShade="80"/>
                        </w:rPr>
                        <m:t>W</m:t>
                      </m:r>
                    </m:e>
                    <m:sub>
                      <m:r>
                        <w:rPr>
                          <w:rFonts w:ascii="Cambria Math" w:hAnsi="Cambria Math"/>
                          <w:color w:val="385623" w:themeColor="accent6" w:themeShade="80"/>
                        </w:rPr>
                        <m:t>i</m:t>
                      </m:r>
                    </m:sub>
                  </m:sSub>
                  <m:r>
                    <w:rPr>
                      <w:rFonts w:ascii="Cambria Math" w:hAnsi="Cambria Math"/>
                      <w:color w:val="385623" w:themeColor="accent6" w:themeShade="80"/>
                    </w:rPr>
                    <m:t>sin</m:t>
                  </m:r>
                  <m:sSub>
                    <m:sSubPr>
                      <m:ctrlPr>
                        <w:rPr>
                          <w:rFonts w:ascii="Cambria Math" w:hAnsi="Cambria Math"/>
                          <w:i/>
                          <w:color w:val="385623" w:themeColor="accent6" w:themeShade="80"/>
                        </w:rPr>
                      </m:ctrlPr>
                    </m:sSubPr>
                    <m:e>
                      <m:r>
                        <w:rPr>
                          <w:rFonts w:ascii="Cambria Math" w:hAnsi="Cambria Math"/>
                          <w:color w:val="385623" w:themeColor="accent6" w:themeShade="80"/>
                        </w:rPr>
                        <m:t>θ</m:t>
                      </m:r>
                    </m:e>
                    <m:sub>
                      <m:r>
                        <w:rPr>
                          <w:rFonts w:ascii="Cambria Math" w:hAnsi="Cambria Math"/>
                          <w:color w:val="385623" w:themeColor="accent6" w:themeShade="80"/>
                        </w:rPr>
                        <m:t>i</m:t>
                      </m:r>
                    </m:sub>
                  </m:sSub>
                </m:e>
              </m:nary>
            </m:den>
          </m:f>
        </m:oMath>
      </m:oMathPara>
    </w:p>
    <w:p w:rsidR="00C31183" w:rsidRPr="00C31183" w:rsidRDefault="00C31183" w:rsidP="00C31183">
      <w:pPr>
        <w:ind w:left="720"/>
      </w:pPr>
    </w:p>
    <w:tbl>
      <w:tblPr>
        <w:tblW w:w="9249" w:type="dxa"/>
        <w:tblInd w:w="-40" w:type="dxa"/>
        <w:tblLayout w:type="fixed"/>
        <w:tblCellMar>
          <w:left w:w="0" w:type="dxa"/>
          <w:right w:w="0" w:type="dxa"/>
        </w:tblCellMar>
        <w:tblLook w:val="0000" w:firstRow="0" w:lastRow="0" w:firstColumn="0" w:lastColumn="0" w:noHBand="0" w:noVBand="0"/>
      </w:tblPr>
      <w:tblGrid>
        <w:gridCol w:w="1273"/>
        <w:gridCol w:w="1273"/>
        <w:gridCol w:w="1280"/>
        <w:gridCol w:w="1426"/>
        <w:gridCol w:w="1294"/>
        <w:gridCol w:w="1281"/>
        <w:gridCol w:w="1422"/>
      </w:tblGrid>
      <w:tr w:rsidR="00C31183" w:rsidRPr="00C31183" w:rsidTr="00EB5D44">
        <w:trPr>
          <w:trHeight w:val="630"/>
        </w:trPr>
        <w:tc>
          <w:tcPr>
            <w:tcW w:w="1273" w:type="dxa"/>
            <w:tcBorders>
              <w:top w:val="single" w:sz="4" w:space="0" w:color="auto"/>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Tranche</w:t>
            </w:r>
          </w:p>
        </w:tc>
        <w:tc>
          <w:tcPr>
            <w:tcW w:w="1273"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ascii="Symbol" w:eastAsia="Arial Unicode MS" w:hAnsi="Symbol" w:cs="Arial"/>
              </w:rPr>
            </w:pPr>
            <w:r w:rsidRPr="00C31183">
              <w:rPr>
                <w:rFonts w:ascii="Symbol" w:hAnsi="Symbol" w:cs="Arial"/>
              </w:rPr>
              <w:t></w:t>
            </w:r>
            <w:r w:rsidRPr="00C31183">
              <w:t xml:space="preserve"> (°)</w:t>
            </w:r>
          </w:p>
        </w:tc>
        <w:tc>
          <w:tcPr>
            <w:tcW w:w="1280"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W (kN)</w:t>
            </w:r>
          </w:p>
        </w:tc>
        <w:tc>
          <w:tcPr>
            <w:tcW w:w="1426"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proofErr w:type="spellStart"/>
            <w:r w:rsidRPr="00C31183">
              <w:t>W.sin</w:t>
            </w:r>
            <w:proofErr w:type="spellEnd"/>
            <w:r w:rsidRPr="00C31183">
              <w:rPr>
                <w:rFonts w:ascii="Symbol" w:hAnsi="Symbol"/>
              </w:rPr>
              <w:t></w:t>
            </w:r>
            <w:r w:rsidRPr="00C31183">
              <w:t xml:space="preserve"> (kN)</w:t>
            </w:r>
          </w:p>
        </w:tc>
        <w:tc>
          <w:tcPr>
            <w:tcW w:w="1294"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proofErr w:type="spellStart"/>
            <w:r w:rsidRPr="00C31183">
              <w:t>W.cos</w:t>
            </w:r>
            <w:proofErr w:type="spellEnd"/>
            <w:r w:rsidRPr="00C31183">
              <w:rPr>
                <w:rFonts w:ascii="Symbol" w:hAnsi="Symbol"/>
              </w:rPr>
              <w:t></w:t>
            </w:r>
            <w:r w:rsidRPr="00C31183">
              <w:t xml:space="preserve"> (kN)</w:t>
            </w:r>
          </w:p>
        </w:tc>
        <w:tc>
          <w:tcPr>
            <w:tcW w:w="1281"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proofErr w:type="spellStart"/>
            <w:r w:rsidRPr="00C31183">
              <w:t>W.cos</w:t>
            </w:r>
            <w:r w:rsidRPr="00C31183">
              <w:rPr>
                <w:rFonts w:ascii="Symbol" w:hAnsi="Symbol"/>
              </w:rPr>
              <w:t></w:t>
            </w:r>
            <w:r w:rsidRPr="00C31183">
              <w:t>.tan</w:t>
            </w:r>
            <w:proofErr w:type="spellEnd"/>
            <w:r w:rsidRPr="00C31183">
              <w:rPr>
                <w:rFonts w:ascii="Symbol" w:hAnsi="Symbol"/>
              </w:rPr>
              <w:t></w:t>
            </w:r>
            <w:r w:rsidRPr="00C31183">
              <w:t xml:space="preserve"> (kN)</w:t>
            </w:r>
          </w:p>
        </w:tc>
        <w:tc>
          <w:tcPr>
            <w:tcW w:w="1422"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proofErr w:type="spellStart"/>
            <w:r w:rsidRPr="00C31183">
              <w:t>c.l</w:t>
            </w:r>
            <w:proofErr w:type="spellEnd"/>
            <w:r w:rsidRPr="00C31183">
              <w:t xml:space="preserve"> (kN)</w:t>
            </w:r>
          </w:p>
        </w:tc>
      </w:tr>
      <w:tr w:rsidR="00C31183" w:rsidRPr="00C31183" w:rsidTr="00EB5D44">
        <w:trPr>
          <w:trHeight w:val="315"/>
        </w:trPr>
        <w:tc>
          <w:tcPr>
            <w:tcW w:w="1273" w:type="dxa"/>
            <w:tcBorders>
              <w:top w:val="nil"/>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w:t>
            </w:r>
          </w:p>
        </w:tc>
        <w:tc>
          <w:tcPr>
            <w:tcW w:w="1273"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49</w:t>
            </w:r>
          </w:p>
        </w:tc>
        <w:tc>
          <w:tcPr>
            <w:tcW w:w="1280"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1105</w:t>
            </w:r>
          </w:p>
        </w:tc>
        <w:tc>
          <w:tcPr>
            <w:tcW w:w="1426"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834</w:t>
            </w:r>
          </w:p>
        </w:tc>
        <w:tc>
          <w:tcPr>
            <w:tcW w:w="1294"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725</w:t>
            </w:r>
          </w:p>
        </w:tc>
        <w:tc>
          <w:tcPr>
            <w:tcW w:w="1281"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128</w:t>
            </w:r>
          </w:p>
        </w:tc>
        <w:tc>
          <w:tcPr>
            <w:tcW w:w="1422"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762</w:t>
            </w:r>
          </w:p>
        </w:tc>
      </w:tr>
      <w:tr w:rsidR="00C31183" w:rsidRPr="00C31183" w:rsidTr="00EB5D44">
        <w:trPr>
          <w:trHeight w:val="315"/>
        </w:trPr>
        <w:tc>
          <w:tcPr>
            <w:tcW w:w="1273" w:type="dxa"/>
            <w:tcBorders>
              <w:top w:val="nil"/>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2</w:t>
            </w:r>
          </w:p>
        </w:tc>
        <w:tc>
          <w:tcPr>
            <w:tcW w:w="1273"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30,5</w:t>
            </w:r>
          </w:p>
        </w:tc>
        <w:tc>
          <w:tcPr>
            <w:tcW w:w="1280"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1255</w:t>
            </w:r>
          </w:p>
        </w:tc>
        <w:tc>
          <w:tcPr>
            <w:tcW w:w="1426"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637</w:t>
            </w:r>
          </w:p>
        </w:tc>
        <w:tc>
          <w:tcPr>
            <w:tcW w:w="1294"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1081</w:t>
            </w:r>
          </w:p>
        </w:tc>
        <w:tc>
          <w:tcPr>
            <w:tcW w:w="1281"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0</w:t>
            </w:r>
          </w:p>
        </w:tc>
        <w:tc>
          <w:tcPr>
            <w:tcW w:w="1422"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174</w:t>
            </w:r>
          </w:p>
        </w:tc>
      </w:tr>
      <w:tr w:rsidR="00C31183" w:rsidRPr="00C31183" w:rsidTr="00EB5D44">
        <w:trPr>
          <w:trHeight w:val="315"/>
        </w:trPr>
        <w:tc>
          <w:tcPr>
            <w:tcW w:w="1273" w:type="dxa"/>
            <w:tcBorders>
              <w:top w:val="nil"/>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3</w:t>
            </w:r>
          </w:p>
        </w:tc>
        <w:tc>
          <w:tcPr>
            <w:tcW w:w="1273"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19,8</w:t>
            </w:r>
          </w:p>
        </w:tc>
        <w:tc>
          <w:tcPr>
            <w:tcW w:w="1280"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1436</w:t>
            </w:r>
          </w:p>
        </w:tc>
        <w:tc>
          <w:tcPr>
            <w:tcW w:w="1426"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486</w:t>
            </w:r>
          </w:p>
        </w:tc>
        <w:tc>
          <w:tcPr>
            <w:tcW w:w="1294"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1351</w:t>
            </w:r>
          </w:p>
        </w:tc>
        <w:tc>
          <w:tcPr>
            <w:tcW w:w="1281"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0</w:t>
            </w:r>
          </w:p>
        </w:tc>
        <w:tc>
          <w:tcPr>
            <w:tcW w:w="1422"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106</w:t>
            </w:r>
          </w:p>
        </w:tc>
      </w:tr>
      <w:tr w:rsidR="00C31183" w:rsidRPr="00C31183" w:rsidTr="00EB5D44">
        <w:trPr>
          <w:trHeight w:val="315"/>
        </w:trPr>
        <w:tc>
          <w:tcPr>
            <w:tcW w:w="1273" w:type="dxa"/>
            <w:tcBorders>
              <w:top w:val="single" w:sz="4" w:space="0" w:color="auto"/>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4</w:t>
            </w:r>
          </w:p>
        </w:tc>
        <w:tc>
          <w:tcPr>
            <w:tcW w:w="1273"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9,75</w:t>
            </w:r>
          </w:p>
        </w:tc>
        <w:tc>
          <w:tcPr>
            <w:tcW w:w="1280"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1288</w:t>
            </w:r>
          </w:p>
        </w:tc>
        <w:tc>
          <w:tcPr>
            <w:tcW w:w="1426"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218</w:t>
            </w:r>
          </w:p>
        </w:tc>
        <w:tc>
          <w:tcPr>
            <w:tcW w:w="1294" w:type="dxa"/>
            <w:tcBorders>
              <w:top w:val="single" w:sz="4" w:space="0" w:color="auto"/>
              <w:left w:val="nil"/>
              <w:bottom w:val="single" w:sz="4" w:space="0" w:color="auto"/>
              <w:right w:val="nil"/>
            </w:tcBorders>
            <w:noWrap/>
            <w:vAlign w:val="bottom"/>
          </w:tcPr>
          <w:p w:rsidR="00C31183" w:rsidRPr="00C31183" w:rsidRDefault="00C31183" w:rsidP="00EB5D44">
            <w:pPr>
              <w:jc w:val="center"/>
              <w:rPr>
                <w:rFonts w:ascii="Arial" w:eastAsia="Arial Unicode MS" w:hAnsi="Arial" w:cs="Arial"/>
              </w:rPr>
            </w:pPr>
            <w:r w:rsidRPr="00C31183">
              <w:t>1270</w:t>
            </w:r>
          </w:p>
        </w:tc>
        <w:tc>
          <w:tcPr>
            <w:tcW w:w="1281"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0</w:t>
            </w:r>
          </w:p>
        </w:tc>
        <w:tc>
          <w:tcPr>
            <w:tcW w:w="1422"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101</w:t>
            </w:r>
          </w:p>
        </w:tc>
      </w:tr>
      <w:tr w:rsidR="00C31183" w:rsidRPr="00C31183" w:rsidTr="00EB5D44">
        <w:trPr>
          <w:trHeight w:val="315"/>
        </w:trPr>
        <w:tc>
          <w:tcPr>
            <w:tcW w:w="1273" w:type="dxa"/>
            <w:tcBorders>
              <w:top w:val="single" w:sz="4" w:space="0" w:color="auto"/>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5</w:t>
            </w:r>
          </w:p>
        </w:tc>
        <w:tc>
          <w:tcPr>
            <w:tcW w:w="1273"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0</w:t>
            </w:r>
          </w:p>
        </w:tc>
        <w:tc>
          <w:tcPr>
            <w:tcW w:w="1280"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 -</w:t>
            </w:r>
          </w:p>
        </w:tc>
        <w:tc>
          <w:tcPr>
            <w:tcW w:w="1426" w:type="dxa"/>
            <w:tcBorders>
              <w:top w:val="single" w:sz="4" w:space="0" w:color="auto"/>
              <w:left w:val="nil"/>
              <w:bottom w:val="single" w:sz="4" w:space="0" w:color="auto"/>
              <w:right w:val="single" w:sz="4" w:space="0" w:color="auto"/>
            </w:tcBorders>
            <w:shd w:val="clear" w:color="auto" w:fill="FFFFFF"/>
          </w:tcPr>
          <w:p w:rsidR="00C31183" w:rsidRPr="00C31183" w:rsidRDefault="006D41C9" w:rsidP="00EB5D44">
            <w:pPr>
              <w:jc w:val="center"/>
              <w:rPr>
                <w:rFonts w:eastAsia="Arial Unicode MS"/>
              </w:rPr>
            </w:pPr>
            <w:r>
              <w:t>-</w:t>
            </w:r>
          </w:p>
        </w:tc>
        <w:tc>
          <w:tcPr>
            <w:tcW w:w="1294" w:type="dxa"/>
            <w:tcBorders>
              <w:top w:val="single" w:sz="4" w:space="0" w:color="auto"/>
              <w:left w:val="nil"/>
              <w:bottom w:val="single" w:sz="4" w:space="0" w:color="auto"/>
              <w:right w:val="single" w:sz="4" w:space="0" w:color="auto"/>
            </w:tcBorders>
            <w:shd w:val="clear" w:color="auto" w:fill="FFFFFF"/>
          </w:tcPr>
          <w:p w:rsidR="00C31183" w:rsidRPr="00C31183" w:rsidRDefault="006D41C9" w:rsidP="00EB5D44">
            <w:pPr>
              <w:jc w:val="center"/>
              <w:rPr>
                <w:rFonts w:eastAsia="Arial Unicode MS"/>
              </w:rPr>
            </w:pPr>
            <w:r>
              <w:t>-</w:t>
            </w:r>
          </w:p>
        </w:tc>
        <w:tc>
          <w:tcPr>
            <w:tcW w:w="1281" w:type="dxa"/>
            <w:tcBorders>
              <w:top w:val="single" w:sz="4" w:space="0" w:color="auto"/>
              <w:left w:val="nil"/>
              <w:bottom w:val="single" w:sz="4" w:space="0" w:color="auto"/>
              <w:right w:val="single" w:sz="4" w:space="0" w:color="auto"/>
            </w:tcBorders>
            <w:shd w:val="clear" w:color="auto" w:fill="FFFFFF"/>
          </w:tcPr>
          <w:p w:rsidR="00C31183" w:rsidRPr="00C31183" w:rsidRDefault="006D41C9" w:rsidP="00EB5D44">
            <w:pPr>
              <w:jc w:val="center"/>
              <w:rPr>
                <w:rFonts w:eastAsia="Arial Unicode MS"/>
              </w:rPr>
            </w:pPr>
            <w:r>
              <w:t>-</w:t>
            </w:r>
          </w:p>
        </w:tc>
        <w:tc>
          <w:tcPr>
            <w:tcW w:w="1422"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100</w:t>
            </w:r>
          </w:p>
        </w:tc>
      </w:tr>
      <w:tr w:rsidR="00C31183" w:rsidRPr="00C31183" w:rsidTr="00EB5D44">
        <w:trPr>
          <w:trHeight w:val="315"/>
        </w:trPr>
        <w:tc>
          <w:tcPr>
            <w:tcW w:w="1273" w:type="dxa"/>
            <w:tcBorders>
              <w:top w:val="nil"/>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6</w:t>
            </w:r>
          </w:p>
        </w:tc>
        <w:tc>
          <w:tcPr>
            <w:tcW w:w="1273"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-9,75</w:t>
            </w:r>
          </w:p>
        </w:tc>
        <w:tc>
          <w:tcPr>
            <w:tcW w:w="1280"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736</w:t>
            </w:r>
          </w:p>
        </w:tc>
        <w:tc>
          <w:tcPr>
            <w:tcW w:w="1426"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-125</w:t>
            </w:r>
          </w:p>
        </w:tc>
        <w:tc>
          <w:tcPr>
            <w:tcW w:w="1294"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726</w:t>
            </w:r>
          </w:p>
        </w:tc>
        <w:tc>
          <w:tcPr>
            <w:tcW w:w="1281"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0</w:t>
            </w:r>
          </w:p>
        </w:tc>
        <w:tc>
          <w:tcPr>
            <w:tcW w:w="1422"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101</w:t>
            </w:r>
          </w:p>
        </w:tc>
      </w:tr>
      <w:tr w:rsidR="00C31183" w:rsidRPr="00C31183" w:rsidTr="00EB5D44">
        <w:trPr>
          <w:trHeight w:val="315"/>
        </w:trPr>
        <w:tc>
          <w:tcPr>
            <w:tcW w:w="1273" w:type="dxa"/>
            <w:tcBorders>
              <w:top w:val="nil"/>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7</w:t>
            </w:r>
          </w:p>
        </w:tc>
        <w:tc>
          <w:tcPr>
            <w:tcW w:w="1273"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-19,8</w:t>
            </w:r>
          </w:p>
        </w:tc>
        <w:tc>
          <w:tcPr>
            <w:tcW w:w="1280"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399</w:t>
            </w:r>
          </w:p>
        </w:tc>
        <w:tc>
          <w:tcPr>
            <w:tcW w:w="1426"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-135</w:t>
            </w:r>
          </w:p>
        </w:tc>
        <w:tc>
          <w:tcPr>
            <w:tcW w:w="1294"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375</w:t>
            </w:r>
          </w:p>
        </w:tc>
        <w:tc>
          <w:tcPr>
            <w:tcW w:w="1281"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0</w:t>
            </w:r>
          </w:p>
        </w:tc>
        <w:tc>
          <w:tcPr>
            <w:tcW w:w="1422"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106</w:t>
            </w:r>
          </w:p>
        </w:tc>
      </w:tr>
      <w:tr w:rsidR="00C31183" w:rsidRPr="00C31183" w:rsidTr="00EB5D44">
        <w:trPr>
          <w:trHeight w:val="315"/>
        </w:trPr>
        <w:tc>
          <w:tcPr>
            <w:tcW w:w="1273" w:type="dxa"/>
            <w:tcBorders>
              <w:top w:val="nil"/>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8</w:t>
            </w:r>
          </w:p>
        </w:tc>
        <w:tc>
          <w:tcPr>
            <w:tcW w:w="1273"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-30,5</w:t>
            </w:r>
          </w:p>
        </w:tc>
        <w:tc>
          <w:tcPr>
            <w:tcW w:w="1280"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150</w:t>
            </w:r>
          </w:p>
        </w:tc>
        <w:tc>
          <w:tcPr>
            <w:tcW w:w="1426"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-76</w:t>
            </w:r>
          </w:p>
        </w:tc>
        <w:tc>
          <w:tcPr>
            <w:tcW w:w="1294"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129</w:t>
            </w:r>
          </w:p>
        </w:tc>
        <w:tc>
          <w:tcPr>
            <w:tcW w:w="1281"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0</w:t>
            </w:r>
          </w:p>
        </w:tc>
        <w:tc>
          <w:tcPr>
            <w:tcW w:w="1422"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174</w:t>
            </w:r>
          </w:p>
        </w:tc>
      </w:tr>
    </w:tbl>
    <w:p w:rsidR="00C31183" w:rsidRPr="00C31183" w:rsidRDefault="00C31183" w:rsidP="00C31183">
      <w:pPr>
        <w:pStyle w:val="Lgende"/>
        <w:rPr>
          <w:sz w:val="20"/>
        </w:rPr>
      </w:pPr>
      <w:r w:rsidRPr="00C31183">
        <w:rPr>
          <w:sz w:val="20"/>
        </w:rPr>
        <w:t>Tableau 1</w:t>
      </w:r>
    </w:p>
    <w:p w:rsidR="00C31183" w:rsidRPr="00C31183" w:rsidRDefault="00C31183" w:rsidP="00C31183">
      <w:pPr>
        <w:jc w:val="both"/>
      </w:pPr>
    </w:p>
    <w:p w:rsidR="00C31183" w:rsidRDefault="00C31183" w:rsidP="00C31183">
      <w:pPr>
        <w:jc w:val="both"/>
      </w:pPr>
      <w:r>
        <w:t>Le coefficient de sécurité est égal au rapport entre les efforts résistants (</w:t>
      </w:r>
      <w:proofErr w:type="spellStart"/>
      <w:r>
        <w:t>W.cos</w:t>
      </w:r>
      <w:proofErr w:type="spellEnd"/>
      <w:r>
        <w:rPr>
          <w:rFonts w:ascii="Symbol" w:hAnsi="Symbol"/>
        </w:rPr>
        <w:t></w:t>
      </w:r>
      <w:r>
        <w:rPr>
          <w:rFonts w:ascii="Symbol" w:hAnsi="Symbol"/>
        </w:rPr>
        <w:t></w:t>
      </w:r>
      <w:r>
        <w:t>tan</w:t>
      </w:r>
      <w:r>
        <w:rPr>
          <w:rFonts w:ascii="Symbol" w:hAnsi="Symbol"/>
        </w:rPr>
        <w:t></w:t>
      </w:r>
      <w:r>
        <w:t>+cl) et les efforts moteurs (</w:t>
      </w:r>
      <w:proofErr w:type="spellStart"/>
      <w:r>
        <w:t>W.sin</w:t>
      </w:r>
      <w:proofErr w:type="spellEnd"/>
      <w:r>
        <w:rPr>
          <w:rFonts w:ascii="Symbol" w:hAnsi="Symbol"/>
        </w:rPr>
        <w:t></w:t>
      </w:r>
      <w:r>
        <w:t xml:space="preserve">), l étant la </w:t>
      </w:r>
      <w:r w:rsidR="00B03F61">
        <w:t>longueur</w:t>
      </w:r>
      <w:r>
        <w:t xml:space="preserve"> de la ligne de rupture à la base de chaque tranche.</w:t>
      </w:r>
    </w:p>
    <w:p w:rsidR="00C31183" w:rsidRDefault="00C31183" w:rsidP="00C31183">
      <w:pPr>
        <w:jc w:val="both"/>
      </w:pPr>
    </w:p>
    <w:p w:rsidR="00C31183" w:rsidRDefault="00C31183" w:rsidP="00C31183">
      <w:pPr>
        <w:jc w:val="both"/>
      </w:pPr>
      <w:r>
        <w:rPr>
          <w:position w:val="-22"/>
        </w:rPr>
        <w:object w:dxaOrig="19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5pt;height:27.65pt" o:ole="">
            <v:imagedata r:id="rId5" o:title=""/>
          </v:shape>
          <o:OLEObject Type="Embed" ProgID="Equation.3" ShapeID="_x0000_i1025" DrawAspect="Content" ObjectID="_1755322130" r:id="rId6"/>
        </w:object>
      </w:r>
    </w:p>
    <w:p w:rsidR="00C31183" w:rsidRDefault="00C31183" w:rsidP="00C31183">
      <w:pPr>
        <w:ind w:left="720"/>
      </w:pPr>
    </w:p>
    <w:p w:rsidR="001928A9" w:rsidRPr="00C31183" w:rsidRDefault="001928A9" w:rsidP="001928A9">
      <w:pPr>
        <w:numPr>
          <w:ilvl w:val="0"/>
          <w:numId w:val="1"/>
        </w:numPr>
        <w:rPr>
          <w:color w:val="385623" w:themeColor="accent6" w:themeShade="80"/>
        </w:rPr>
      </w:pPr>
      <w:r w:rsidRPr="00C31183">
        <w:rPr>
          <w:color w:val="385623" w:themeColor="accent6" w:themeShade="80"/>
        </w:rPr>
        <w:t>Déterminer le coefficient de sécurité par la même méthode mais en considérant cette fois ci un angle de frottement de 15 ° dans le sol 2 et de 10° dans le sol 3.</w:t>
      </w:r>
    </w:p>
    <w:p w:rsidR="00C31183" w:rsidRDefault="00C31183" w:rsidP="00C31183">
      <w:pPr>
        <w:ind w:left="720"/>
      </w:pPr>
    </w:p>
    <w:p w:rsidR="00C31183" w:rsidRPr="00C31183" w:rsidRDefault="00C31183" w:rsidP="00C31183">
      <w:pPr>
        <w:pStyle w:val="Corpsdetexte"/>
        <w:rPr>
          <w:sz w:val="20"/>
        </w:rPr>
      </w:pPr>
      <w:r w:rsidRPr="00C31183">
        <w:rPr>
          <w:sz w:val="20"/>
        </w:rPr>
        <w:t>En considérant un angle de frottement de 15 ° dans le sol 2 et de 10° dans le sol 3, il faut recalculer la colonne W.cos</w:t>
      </w:r>
      <w:r w:rsidRPr="00C31183">
        <w:rPr>
          <w:rFonts w:ascii="Symbol" w:hAnsi="Symbol"/>
          <w:sz w:val="20"/>
        </w:rPr>
        <w:t></w:t>
      </w:r>
      <w:r w:rsidRPr="00C31183">
        <w:rPr>
          <w:sz w:val="20"/>
        </w:rPr>
        <w:t>.tan</w:t>
      </w:r>
      <w:r w:rsidRPr="00C31183">
        <w:rPr>
          <w:rFonts w:ascii="Symbol" w:hAnsi="Symbol"/>
          <w:sz w:val="20"/>
        </w:rPr>
        <w:t></w:t>
      </w:r>
      <w:r w:rsidRPr="00C31183">
        <w:rPr>
          <w:sz w:val="20"/>
        </w:rPr>
        <w:t>. Les tranches 2 et 8 ont leur base dans le sol 2 ; les tranches 3, 4, 5, et 6 ont leur base dans le sol 3.</w:t>
      </w:r>
    </w:p>
    <w:p w:rsidR="00C31183" w:rsidRPr="00C31183" w:rsidRDefault="00C31183" w:rsidP="00C31183">
      <w:pPr>
        <w:pStyle w:val="Corpsdetexte"/>
        <w:rPr>
          <w:sz w:val="20"/>
        </w:rPr>
      </w:pPr>
    </w:p>
    <w:tbl>
      <w:tblPr>
        <w:tblW w:w="9249" w:type="dxa"/>
        <w:tblInd w:w="-45" w:type="dxa"/>
        <w:tblLayout w:type="fixed"/>
        <w:tblCellMar>
          <w:left w:w="0" w:type="dxa"/>
          <w:right w:w="0" w:type="dxa"/>
        </w:tblCellMar>
        <w:tblLook w:val="0000" w:firstRow="0" w:lastRow="0" w:firstColumn="0" w:lastColumn="0" w:noHBand="0" w:noVBand="0"/>
      </w:tblPr>
      <w:tblGrid>
        <w:gridCol w:w="1273"/>
        <w:gridCol w:w="1273"/>
        <w:gridCol w:w="1280"/>
        <w:gridCol w:w="1426"/>
        <w:gridCol w:w="1294"/>
        <w:gridCol w:w="1281"/>
        <w:gridCol w:w="1422"/>
      </w:tblGrid>
      <w:tr w:rsidR="00C31183" w:rsidRPr="00C31183" w:rsidTr="00EB5D44">
        <w:trPr>
          <w:trHeight w:val="630"/>
        </w:trPr>
        <w:tc>
          <w:tcPr>
            <w:tcW w:w="1273" w:type="dxa"/>
            <w:tcBorders>
              <w:top w:val="single" w:sz="4" w:space="0" w:color="auto"/>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Tranche</w:t>
            </w:r>
          </w:p>
        </w:tc>
        <w:tc>
          <w:tcPr>
            <w:tcW w:w="1273"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ascii="Symbol" w:eastAsia="Arial Unicode MS" w:hAnsi="Symbol" w:cs="Arial"/>
              </w:rPr>
            </w:pPr>
            <w:r w:rsidRPr="00C31183">
              <w:rPr>
                <w:rFonts w:ascii="Symbol" w:hAnsi="Symbol" w:cs="Arial"/>
              </w:rPr>
              <w:t></w:t>
            </w:r>
            <w:r w:rsidRPr="00C31183">
              <w:t xml:space="preserve"> (°)</w:t>
            </w:r>
          </w:p>
        </w:tc>
        <w:tc>
          <w:tcPr>
            <w:tcW w:w="1280"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W (kN)</w:t>
            </w:r>
          </w:p>
        </w:tc>
        <w:tc>
          <w:tcPr>
            <w:tcW w:w="1426"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W.sin</w:t>
            </w:r>
            <w:r w:rsidRPr="00C31183">
              <w:rPr>
                <w:rFonts w:ascii="Symbol" w:hAnsi="Symbol"/>
              </w:rPr>
              <w:t></w:t>
            </w:r>
            <w:r w:rsidRPr="00C31183">
              <w:t xml:space="preserve"> (kN)</w:t>
            </w:r>
          </w:p>
        </w:tc>
        <w:tc>
          <w:tcPr>
            <w:tcW w:w="1294"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lang w:val="en-US"/>
              </w:rPr>
            </w:pPr>
            <w:r w:rsidRPr="00C31183">
              <w:rPr>
                <w:lang w:val="en-US"/>
              </w:rPr>
              <w:t>W.cos</w:t>
            </w:r>
            <w:r w:rsidRPr="00C31183">
              <w:rPr>
                <w:rFonts w:ascii="Symbol" w:hAnsi="Symbol"/>
              </w:rPr>
              <w:t></w:t>
            </w:r>
            <w:r w:rsidRPr="00C31183">
              <w:rPr>
                <w:lang w:val="en-US"/>
              </w:rPr>
              <w:t xml:space="preserve"> (kN)</w:t>
            </w:r>
          </w:p>
        </w:tc>
        <w:tc>
          <w:tcPr>
            <w:tcW w:w="1281"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lang w:val="en-US"/>
              </w:rPr>
            </w:pPr>
            <w:r w:rsidRPr="00C31183">
              <w:rPr>
                <w:lang w:val="en-US"/>
              </w:rPr>
              <w:t>W.cos</w:t>
            </w:r>
            <w:r w:rsidRPr="00C31183">
              <w:rPr>
                <w:rFonts w:ascii="Symbol" w:hAnsi="Symbol"/>
              </w:rPr>
              <w:t></w:t>
            </w:r>
            <w:r w:rsidRPr="00C31183">
              <w:rPr>
                <w:lang w:val="en-US"/>
              </w:rPr>
              <w:t>.tan</w:t>
            </w:r>
            <w:r w:rsidRPr="00C31183">
              <w:rPr>
                <w:rFonts w:ascii="Symbol" w:hAnsi="Symbol"/>
              </w:rPr>
              <w:t></w:t>
            </w:r>
            <w:r w:rsidRPr="00C31183">
              <w:rPr>
                <w:lang w:val="en-US"/>
              </w:rPr>
              <w:t xml:space="preserve"> (kN)</w:t>
            </w:r>
          </w:p>
        </w:tc>
        <w:tc>
          <w:tcPr>
            <w:tcW w:w="1422"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lang w:val="en-US"/>
              </w:rPr>
            </w:pPr>
            <w:r w:rsidRPr="00C31183">
              <w:rPr>
                <w:lang w:val="en-US"/>
              </w:rPr>
              <w:t>c.l (kN)</w:t>
            </w:r>
          </w:p>
        </w:tc>
      </w:tr>
      <w:tr w:rsidR="00C31183" w:rsidRPr="00C31183" w:rsidTr="00EB5D44">
        <w:trPr>
          <w:trHeight w:val="315"/>
        </w:trPr>
        <w:tc>
          <w:tcPr>
            <w:tcW w:w="1273" w:type="dxa"/>
            <w:tcBorders>
              <w:top w:val="nil"/>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w:t>
            </w:r>
          </w:p>
        </w:tc>
        <w:tc>
          <w:tcPr>
            <w:tcW w:w="1273"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49</w:t>
            </w:r>
          </w:p>
        </w:tc>
        <w:tc>
          <w:tcPr>
            <w:tcW w:w="1280"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1105</w:t>
            </w:r>
          </w:p>
        </w:tc>
        <w:tc>
          <w:tcPr>
            <w:tcW w:w="1426"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834</w:t>
            </w:r>
          </w:p>
        </w:tc>
        <w:tc>
          <w:tcPr>
            <w:tcW w:w="1294"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725</w:t>
            </w:r>
          </w:p>
        </w:tc>
        <w:tc>
          <w:tcPr>
            <w:tcW w:w="1281"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128</w:t>
            </w:r>
          </w:p>
        </w:tc>
        <w:tc>
          <w:tcPr>
            <w:tcW w:w="1422"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762</w:t>
            </w:r>
          </w:p>
        </w:tc>
      </w:tr>
      <w:tr w:rsidR="00C31183" w:rsidRPr="00C31183" w:rsidTr="00EB5D44">
        <w:trPr>
          <w:trHeight w:val="315"/>
        </w:trPr>
        <w:tc>
          <w:tcPr>
            <w:tcW w:w="1273" w:type="dxa"/>
            <w:tcBorders>
              <w:top w:val="nil"/>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2</w:t>
            </w:r>
          </w:p>
        </w:tc>
        <w:tc>
          <w:tcPr>
            <w:tcW w:w="1273"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30,5</w:t>
            </w:r>
          </w:p>
        </w:tc>
        <w:tc>
          <w:tcPr>
            <w:tcW w:w="1280"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1255</w:t>
            </w:r>
          </w:p>
        </w:tc>
        <w:tc>
          <w:tcPr>
            <w:tcW w:w="1426"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637</w:t>
            </w:r>
          </w:p>
        </w:tc>
        <w:tc>
          <w:tcPr>
            <w:tcW w:w="1294"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1081</w:t>
            </w:r>
          </w:p>
        </w:tc>
        <w:tc>
          <w:tcPr>
            <w:tcW w:w="1281"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290</w:t>
            </w:r>
          </w:p>
        </w:tc>
        <w:tc>
          <w:tcPr>
            <w:tcW w:w="1422"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174</w:t>
            </w:r>
          </w:p>
        </w:tc>
      </w:tr>
      <w:tr w:rsidR="00C31183" w:rsidRPr="00C31183" w:rsidTr="00EB5D44">
        <w:trPr>
          <w:trHeight w:val="315"/>
        </w:trPr>
        <w:tc>
          <w:tcPr>
            <w:tcW w:w="1273" w:type="dxa"/>
            <w:tcBorders>
              <w:top w:val="nil"/>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3</w:t>
            </w:r>
          </w:p>
        </w:tc>
        <w:tc>
          <w:tcPr>
            <w:tcW w:w="1273"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19,8</w:t>
            </w:r>
          </w:p>
        </w:tc>
        <w:tc>
          <w:tcPr>
            <w:tcW w:w="1280"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1436</w:t>
            </w:r>
          </w:p>
        </w:tc>
        <w:tc>
          <w:tcPr>
            <w:tcW w:w="1426"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486</w:t>
            </w:r>
          </w:p>
        </w:tc>
        <w:tc>
          <w:tcPr>
            <w:tcW w:w="1294"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1351</w:t>
            </w:r>
          </w:p>
        </w:tc>
        <w:tc>
          <w:tcPr>
            <w:tcW w:w="1281"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238</w:t>
            </w:r>
          </w:p>
        </w:tc>
        <w:tc>
          <w:tcPr>
            <w:tcW w:w="1422"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106</w:t>
            </w:r>
          </w:p>
        </w:tc>
      </w:tr>
      <w:tr w:rsidR="00C31183" w:rsidRPr="00C31183" w:rsidTr="00EB5D44">
        <w:trPr>
          <w:trHeight w:val="315"/>
        </w:trPr>
        <w:tc>
          <w:tcPr>
            <w:tcW w:w="1273" w:type="dxa"/>
            <w:tcBorders>
              <w:top w:val="single" w:sz="4" w:space="0" w:color="auto"/>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4</w:t>
            </w:r>
          </w:p>
        </w:tc>
        <w:tc>
          <w:tcPr>
            <w:tcW w:w="1273"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9,75</w:t>
            </w:r>
          </w:p>
        </w:tc>
        <w:tc>
          <w:tcPr>
            <w:tcW w:w="1280"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1298</w:t>
            </w:r>
          </w:p>
        </w:tc>
        <w:tc>
          <w:tcPr>
            <w:tcW w:w="1426"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220</w:t>
            </w:r>
          </w:p>
        </w:tc>
        <w:tc>
          <w:tcPr>
            <w:tcW w:w="1294" w:type="dxa"/>
            <w:tcBorders>
              <w:top w:val="single" w:sz="4" w:space="0" w:color="auto"/>
              <w:left w:val="nil"/>
              <w:bottom w:val="single" w:sz="4" w:space="0" w:color="auto"/>
              <w:right w:val="nil"/>
            </w:tcBorders>
            <w:noWrap/>
            <w:vAlign w:val="bottom"/>
          </w:tcPr>
          <w:p w:rsidR="00C31183" w:rsidRPr="00C31183" w:rsidRDefault="00C31183" w:rsidP="00EB5D44">
            <w:pPr>
              <w:jc w:val="center"/>
              <w:rPr>
                <w:rFonts w:ascii="Arial" w:eastAsia="Arial Unicode MS" w:hAnsi="Arial" w:cs="Arial"/>
              </w:rPr>
            </w:pPr>
            <w:r w:rsidRPr="00C31183">
              <w:t>1279</w:t>
            </w:r>
          </w:p>
        </w:tc>
        <w:tc>
          <w:tcPr>
            <w:tcW w:w="1281"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224</w:t>
            </w:r>
          </w:p>
        </w:tc>
        <w:tc>
          <w:tcPr>
            <w:tcW w:w="1422"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101</w:t>
            </w:r>
          </w:p>
        </w:tc>
      </w:tr>
      <w:tr w:rsidR="00C31183" w:rsidRPr="00C31183" w:rsidTr="00EB5D44">
        <w:trPr>
          <w:trHeight w:val="315"/>
        </w:trPr>
        <w:tc>
          <w:tcPr>
            <w:tcW w:w="1273" w:type="dxa"/>
            <w:tcBorders>
              <w:top w:val="single" w:sz="4" w:space="0" w:color="auto"/>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5</w:t>
            </w:r>
          </w:p>
        </w:tc>
        <w:tc>
          <w:tcPr>
            <w:tcW w:w="1273"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0</w:t>
            </w:r>
          </w:p>
        </w:tc>
        <w:tc>
          <w:tcPr>
            <w:tcW w:w="1280" w:type="dxa"/>
            <w:tcBorders>
              <w:top w:val="single" w:sz="4" w:space="0" w:color="auto"/>
              <w:left w:val="nil"/>
              <w:bottom w:val="single" w:sz="4" w:space="0" w:color="auto"/>
              <w:right w:val="single" w:sz="4" w:space="0" w:color="auto"/>
            </w:tcBorders>
            <w:shd w:val="clear" w:color="auto" w:fill="FFFFFF"/>
          </w:tcPr>
          <w:p w:rsidR="00C31183" w:rsidRPr="00C31183" w:rsidRDefault="009E40E6" w:rsidP="00EB5D44">
            <w:pPr>
              <w:jc w:val="center"/>
              <w:rPr>
                <w:rFonts w:eastAsia="Arial Unicode MS"/>
              </w:rPr>
            </w:pPr>
            <w:r>
              <w:t> 108</w:t>
            </w:r>
            <w:r w:rsidR="00C31183" w:rsidRPr="00C31183">
              <w:t>2</w:t>
            </w:r>
          </w:p>
        </w:tc>
        <w:tc>
          <w:tcPr>
            <w:tcW w:w="1426"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0</w:t>
            </w:r>
          </w:p>
        </w:tc>
        <w:tc>
          <w:tcPr>
            <w:tcW w:w="1294" w:type="dxa"/>
            <w:tcBorders>
              <w:top w:val="single" w:sz="4" w:space="0" w:color="auto"/>
              <w:left w:val="nil"/>
              <w:bottom w:val="single" w:sz="4" w:space="0" w:color="auto"/>
              <w:right w:val="single" w:sz="4" w:space="0" w:color="auto"/>
            </w:tcBorders>
            <w:shd w:val="clear" w:color="auto" w:fill="FFFFFF"/>
          </w:tcPr>
          <w:p w:rsidR="00C31183" w:rsidRPr="00C31183" w:rsidRDefault="009E40E6" w:rsidP="00EB5D44">
            <w:pPr>
              <w:jc w:val="center"/>
              <w:rPr>
                <w:rFonts w:eastAsia="Arial Unicode MS"/>
              </w:rPr>
            </w:pPr>
            <w:r>
              <w:t>108</w:t>
            </w:r>
            <w:r w:rsidR="00C31183" w:rsidRPr="00C31183">
              <w:t>2</w:t>
            </w:r>
          </w:p>
        </w:tc>
        <w:tc>
          <w:tcPr>
            <w:tcW w:w="1281" w:type="dxa"/>
            <w:tcBorders>
              <w:top w:val="single" w:sz="4" w:space="0" w:color="auto"/>
              <w:left w:val="nil"/>
              <w:bottom w:val="single" w:sz="4" w:space="0" w:color="auto"/>
              <w:right w:val="single" w:sz="4" w:space="0" w:color="auto"/>
            </w:tcBorders>
            <w:shd w:val="clear" w:color="auto" w:fill="FFFFFF"/>
          </w:tcPr>
          <w:p w:rsidR="00C31183" w:rsidRPr="00C31183" w:rsidRDefault="00494B40" w:rsidP="00EB5D44">
            <w:pPr>
              <w:jc w:val="center"/>
              <w:rPr>
                <w:rFonts w:eastAsia="Arial Unicode MS"/>
              </w:rPr>
            </w:pPr>
            <w:r>
              <w:t>191</w:t>
            </w:r>
          </w:p>
        </w:tc>
        <w:tc>
          <w:tcPr>
            <w:tcW w:w="1422" w:type="dxa"/>
            <w:tcBorders>
              <w:top w:val="single" w:sz="4" w:space="0" w:color="auto"/>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100</w:t>
            </w:r>
          </w:p>
        </w:tc>
      </w:tr>
      <w:tr w:rsidR="00C31183" w:rsidRPr="00C31183" w:rsidTr="00EB5D44">
        <w:trPr>
          <w:trHeight w:val="315"/>
        </w:trPr>
        <w:tc>
          <w:tcPr>
            <w:tcW w:w="1273" w:type="dxa"/>
            <w:tcBorders>
              <w:top w:val="nil"/>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6</w:t>
            </w:r>
          </w:p>
        </w:tc>
        <w:tc>
          <w:tcPr>
            <w:tcW w:w="1273"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-9,75</w:t>
            </w:r>
          </w:p>
        </w:tc>
        <w:tc>
          <w:tcPr>
            <w:tcW w:w="1280"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746</w:t>
            </w:r>
          </w:p>
        </w:tc>
        <w:tc>
          <w:tcPr>
            <w:tcW w:w="1426"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-126</w:t>
            </w:r>
          </w:p>
        </w:tc>
        <w:tc>
          <w:tcPr>
            <w:tcW w:w="1294"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735</w:t>
            </w:r>
          </w:p>
        </w:tc>
        <w:tc>
          <w:tcPr>
            <w:tcW w:w="1281"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128</w:t>
            </w:r>
          </w:p>
        </w:tc>
        <w:tc>
          <w:tcPr>
            <w:tcW w:w="1422"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101</w:t>
            </w:r>
          </w:p>
        </w:tc>
      </w:tr>
      <w:tr w:rsidR="00C31183" w:rsidRPr="00C31183" w:rsidTr="00EB5D44">
        <w:trPr>
          <w:trHeight w:val="315"/>
        </w:trPr>
        <w:tc>
          <w:tcPr>
            <w:tcW w:w="1273" w:type="dxa"/>
            <w:tcBorders>
              <w:top w:val="nil"/>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7</w:t>
            </w:r>
          </w:p>
        </w:tc>
        <w:tc>
          <w:tcPr>
            <w:tcW w:w="1273"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-19,8</w:t>
            </w:r>
          </w:p>
        </w:tc>
        <w:tc>
          <w:tcPr>
            <w:tcW w:w="1280"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407</w:t>
            </w:r>
          </w:p>
        </w:tc>
        <w:tc>
          <w:tcPr>
            <w:tcW w:w="1426"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-138</w:t>
            </w:r>
          </w:p>
        </w:tc>
        <w:tc>
          <w:tcPr>
            <w:tcW w:w="1294"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383</w:t>
            </w:r>
          </w:p>
        </w:tc>
        <w:tc>
          <w:tcPr>
            <w:tcW w:w="1281"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66</w:t>
            </w:r>
          </w:p>
        </w:tc>
        <w:tc>
          <w:tcPr>
            <w:tcW w:w="1422"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106</w:t>
            </w:r>
          </w:p>
        </w:tc>
      </w:tr>
      <w:tr w:rsidR="00C31183" w:rsidRPr="00C31183" w:rsidTr="00EB5D44">
        <w:trPr>
          <w:trHeight w:val="315"/>
        </w:trPr>
        <w:tc>
          <w:tcPr>
            <w:tcW w:w="1273" w:type="dxa"/>
            <w:tcBorders>
              <w:top w:val="nil"/>
              <w:left w:val="single" w:sz="4" w:space="0" w:color="auto"/>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8</w:t>
            </w:r>
          </w:p>
        </w:tc>
        <w:tc>
          <w:tcPr>
            <w:tcW w:w="1273"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-30,5</w:t>
            </w:r>
          </w:p>
        </w:tc>
        <w:tc>
          <w:tcPr>
            <w:tcW w:w="1280"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150</w:t>
            </w:r>
          </w:p>
        </w:tc>
        <w:tc>
          <w:tcPr>
            <w:tcW w:w="1426"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-76</w:t>
            </w:r>
          </w:p>
        </w:tc>
        <w:tc>
          <w:tcPr>
            <w:tcW w:w="1294"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129</w:t>
            </w:r>
          </w:p>
        </w:tc>
        <w:tc>
          <w:tcPr>
            <w:tcW w:w="1281" w:type="dxa"/>
            <w:tcBorders>
              <w:top w:val="nil"/>
              <w:left w:val="nil"/>
              <w:bottom w:val="single" w:sz="4" w:space="0" w:color="auto"/>
              <w:right w:val="single" w:sz="4" w:space="0" w:color="auto"/>
            </w:tcBorders>
            <w:shd w:val="clear" w:color="auto" w:fill="FFFFFF"/>
          </w:tcPr>
          <w:p w:rsidR="00C31183" w:rsidRPr="00C31183" w:rsidRDefault="00EA1AB8" w:rsidP="00EB5D44">
            <w:pPr>
              <w:jc w:val="center"/>
              <w:rPr>
                <w:rFonts w:eastAsia="Arial Unicode MS"/>
              </w:rPr>
            </w:pPr>
            <w:r w:rsidRPr="00EA1AB8">
              <w:rPr>
                <w:rFonts w:eastAsia="Arial Unicode MS"/>
                <w:color w:val="FF0000"/>
              </w:rPr>
              <w:t>34</w:t>
            </w:r>
          </w:p>
        </w:tc>
        <w:tc>
          <w:tcPr>
            <w:tcW w:w="1422" w:type="dxa"/>
            <w:tcBorders>
              <w:top w:val="nil"/>
              <w:left w:val="nil"/>
              <w:bottom w:val="single" w:sz="4" w:space="0" w:color="auto"/>
              <w:right w:val="single" w:sz="4" w:space="0" w:color="auto"/>
            </w:tcBorders>
            <w:shd w:val="clear" w:color="auto" w:fill="FFFFFF"/>
          </w:tcPr>
          <w:p w:rsidR="00C31183" w:rsidRPr="00C31183" w:rsidRDefault="00C31183" w:rsidP="00EB5D44">
            <w:pPr>
              <w:jc w:val="center"/>
              <w:rPr>
                <w:rFonts w:eastAsia="Arial Unicode MS"/>
              </w:rPr>
            </w:pPr>
            <w:r w:rsidRPr="00C31183">
              <w:t>174</w:t>
            </w:r>
          </w:p>
        </w:tc>
      </w:tr>
    </w:tbl>
    <w:p w:rsidR="00C31183" w:rsidRPr="00C31183" w:rsidRDefault="00C31183" w:rsidP="00C31183">
      <w:pPr>
        <w:pStyle w:val="Corpsdetexte"/>
        <w:rPr>
          <w:sz w:val="20"/>
        </w:rPr>
      </w:pPr>
    </w:p>
    <w:p w:rsidR="00C31183" w:rsidRPr="00494B40" w:rsidRDefault="00494B40" w:rsidP="00C31183">
      <w:pPr>
        <w:pStyle w:val="Corpsdetexte"/>
        <w:rPr>
          <w:sz w:val="20"/>
        </w:rPr>
      </w:pPr>
      <m:oMathPara>
        <m:oMathParaPr>
          <m:jc m:val="left"/>
        </m:oMathParaPr>
        <m:oMath>
          <m:r>
            <w:rPr>
              <w:rFonts w:ascii="Cambria Math" w:hAnsi="Cambria Math"/>
              <w:sz w:val="20"/>
            </w:rPr>
            <m:t>F=</m:t>
          </m:r>
          <m:f>
            <m:fPr>
              <m:ctrlPr>
                <w:rPr>
                  <w:rFonts w:ascii="Cambria Math" w:hAnsi="Cambria Math"/>
                  <w:i/>
                  <w:sz w:val="20"/>
                </w:rPr>
              </m:ctrlPr>
            </m:fPr>
            <m:num>
              <m:r>
                <w:rPr>
                  <w:rFonts w:ascii="Cambria Math" w:hAnsi="Cambria Math"/>
                  <w:sz w:val="20"/>
                </w:rPr>
                <m:t>1304+1626</m:t>
              </m:r>
            </m:num>
            <m:den>
              <m:r>
                <w:rPr>
                  <w:rFonts w:ascii="Cambria Math" w:hAnsi="Cambria Math"/>
                  <w:sz w:val="20"/>
                </w:rPr>
                <m:t>1837</m:t>
              </m:r>
            </m:den>
          </m:f>
          <m:r>
            <w:rPr>
              <w:rFonts w:ascii="Cambria Math" w:hAnsi="Cambria Math"/>
              <w:sz w:val="20"/>
            </w:rPr>
            <m:t>=1,6</m:t>
          </m:r>
        </m:oMath>
      </m:oMathPara>
    </w:p>
    <w:p w:rsidR="00C31183" w:rsidRDefault="00C31183" w:rsidP="00C31183">
      <w:pPr>
        <w:ind w:left="720"/>
      </w:pPr>
    </w:p>
    <w:p w:rsidR="00C31183" w:rsidRDefault="00C31183" w:rsidP="00C31183">
      <w:pPr>
        <w:ind w:left="720"/>
      </w:pPr>
    </w:p>
    <w:p w:rsidR="001928A9" w:rsidRPr="00C31183" w:rsidRDefault="001928A9" w:rsidP="001928A9">
      <w:pPr>
        <w:numPr>
          <w:ilvl w:val="0"/>
          <w:numId w:val="1"/>
        </w:numPr>
        <w:rPr>
          <w:color w:val="385623" w:themeColor="accent6" w:themeShade="80"/>
        </w:rPr>
      </w:pPr>
      <w:r w:rsidRPr="00C31183">
        <w:rPr>
          <w:color w:val="385623" w:themeColor="accent6" w:themeShade="80"/>
        </w:rPr>
        <w:t>Dans le cas où le coefficient de sécurité est inférieur à 1, quelles méthodes de confortement simples proposeriez-vous pour assurer la stabilité (on illustrera ces méthodes de confortement par des schémas).</w:t>
      </w:r>
    </w:p>
    <w:p w:rsidR="001928A9" w:rsidRDefault="001928A9"/>
    <w:p w:rsidR="00C31183" w:rsidRDefault="00C31183" w:rsidP="00C31183">
      <w:pPr>
        <w:jc w:val="both"/>
        <w:rPr>
          <w:bCs/>
        </w:rPr>
      </w:pPr>
      <w:r w:rsidRPr="00F52444">
        <w:rPr>
          <w:bCs/>
        </w:rPr>
        <w:t>Risberme sur la moitié inférieure de la pente ou  pente radoucie</w:t>
      </w: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r w:rsidRPr="003F4A3A">
        <w:rPr>
          <w:noProof/>
        </w:rPr>
        <w:drawing>
          <wp:inline distT="0" distB="0" distL="0" distR="0">
            <wp:extent cx="5760720" cy="5474519"/>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474519"/>
                    </a:xfrm>
                    <a:prstGeom prst="rect">
                      <a:avLst/>
                    </a:prstGeom>
                    <a:noFill/>
                    <a:ln>
                      <a:noFill/>
                    </a:ln>
                  </pic:spPr>
                </pic:pic>
              </a:graphicData>
            </a:graphic>
          </wp:inline>
        </w:drawing>
      </w: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p>
    <w:p w:rsidR="003F4A3A" w:rsidRDefault="003F4A3A" w:rsidP="00C31183">
      <w:pPr>
        <w:jc w:val="both"/>
        <w:rPr>
          <w:bCs/>
        </w:rPr>
      </w:pPr>
    </w:p>
    <w:p w:rsidR="003F4A3A" w:rsidRPr="00F52444" w:rsidRDefault="003F4A3A" w:rsidP="00C31183">
      <w:pPr>
        <w:jc w:val="both"/>
        <w:rPr>
          <w:bCs/>
        </w:rPr>
      </w:pPr>
    </w:p>
    <w:p w:rsidR="00254E5D" w:rsidRDefault="00254E5D" w:rsidP="00254E5D">
      <w:pPr>
        <w:rPr>
          <w:b/>
          <w:u w:val="single"/>
        </w:rPr>
      </w:pPr>
      <w:r w:rsidRPr="00FD4116">
        <w:rPr>
          <w:b/>
          <w:u w:val="single"/>
        </w:rPr>
        <w:lastRenderedPageBreak/>
        <w:t xml:space="preserve">Exercice </w:t>
      </w:r>
      <w:r>
        <w:rPr>
          <w:b/>
          <w:u w:val="single"/>
        </w:rPr>
        <w:t>2</w:t>
      </w:r>
    </w:p>
    <w:p w:rsidR="00254E5D" w:rsidRDefault="00254E5D" w:rsidP="00254E5D">
      <w:pPr>
        <w:rPr>
          <w:b/>
          <w:u w:val="single"/>
        </w:rPr>
      </w:pPr>
    </w:p>
    <w:p w:rsidR="00254E5D" w:rsidRPr="00BE070A" w:rsidRDefault="00BE070A" w:rsidP="00254E5D">
      <w:pPr>
        <w:autoSpaceDE w:val="0"/>
        <w:autoSpaceDN w:val="0"/>
        <w:adjustRightInd w:val="0"/>
        <w:rPr>
          <w:rFonts w:ascii="Eurostile-Demi" w:eastAsiaTheme="minorHAnsi" w:hAnsi="Eurostile-Demi" w:cs="Eurostile-Demi"/>
          <w:color w:val="000000" w:themeColor="text1"/>
          <w:sz w:val="18"/>
          <w:szCs w:val="18"/>
          <w:lang w:eastAsia="en-US"/>
        </w:rPr>
      </w:pPr>
      <w:r w:rsidRPr="00BE070A">
        <w:rPr>
          <w:rFonts w:ascii="Eurostile-Demi" w:eastAsiaTheme="minorHAnsi" w:hAnsi="Eurostile-Demi" w:cs="Eurostile-Demi"/>
          <w:color w:val="000000" w:themeColor="text1"/>
          <w:sz w:val="18"/>
          <w:szCs w:val="18"/>
          <w:lang w:eastAsia="en-US"/>
        </w:rPr>
        <w:t xml:space="preserve">Réponse </w:t>
      </w:r>
      <w:r w:rsidR="00254E5D" w:rsidRPr="00BE070A">
        <w:rPr>
          <w:rFonts w:ascii="Eurostile-Demi" w:eastAsiaTheme="minorHAnsi" w:hAnsi="Eurostile-Demi" w:cs="Eurostile-Demi"/>
          <w:color w:val="000000" w:themeColor="text1"/>
          <w:sz w:val="18"/>
          <w:szCs w:val="18"/>
          <w:lang w:eastAsia="en-US"/>
        </w:rPr>
        <w:t>n° 1</w:t>
      </w:r>
    </w:p>
    <w:p w:rsidR="00BE070A" w:rsidRPr="00595E12" w:rsidRDefault="00BE070A" w:rsidP="00254E5D">
      <w:pPr>
        <w:autoSpaceDE w:val="0"/>
        <w:autoSpaceDN w:val="0"/>
        <w:adjustRightInd w:val="0"/>
        <w:rPr>
          <w:rFonts w:ascii="Eurostile-Demi" w:eastAsiaTheme="minorHAnsi" w:hAnsi="Eurostile-Demi" w:cs="Eurostile-Demi"/>
          <w:color w:val="385623" w:themeColor="accent6" w:themeShade="80"/>
          <w:sz w:val="18"/>
          <w:szCs w:val="18"/>
          <w:lang w:eastAsia="en-US"/>
        </w:rPr>
      </w:pPr>
    </w:p>
    <w:p w:rsidR="00595E12" w:rsidRDefault="00595E12" w:rsidP="00595E12">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 xml:space="preserve">Soit le talus de pente </w:t>
      </w:r>
      <w:r>
        <w:rPr>
          <w:rFonts w:ascii="Symbol" w:eastAsiaTheme="minorHAnsi" w:hAnsi="Symbol" w:cs="Symbol"/>
          <w:lang w:eastAsia="en-US"/>
        </w:rPr>
        <w:t></w:t>
      </w:r>
      <w:r>
        <w:rPr>
          <w:rFonts w:ascii="Symbol" w:eastAsiaTheme="minorHAnsi" w:hAnsi="Symbol" w:cs="Symbol"/>
          <w:lang w:eastAsia="en-US"/>
        </w:rPr>
        <w:t></w:t>
      </w:r>
      <w:r>
        <w:rPr>
          <w:rFonts w:ascii="Times-Roman" w:eastAsiaTheme="minorHAnsi" w:hAnsi="Times-Roman" w:cs="Times-Roman"/>
          <w:lang w:eastAsia="en-US"/>
        </w:rPr>
        <w:t xml:space="preserve">et de hauteur </w:t>
      </w:r>
      <w:r>
        <w:rPr>
          <w:rFonts w:ascii="Times-Italic" w:eastAsiaTheme="minorHAnsi" w:hAnsi="Times-Italic" w:cs="Times-Italic"/>
          <w:i/>
          <w:iCs/>
          <w:lang w:eastAsia="en-US"/>
        </w:rPr>
        <w:t>H</w:t>
      </w:r>
      <w:r>
        <w:rPr>
          <w:rFonts w:ascii="Times-Roman" w:eastAsiaTheme="minorHAnsi" w:hAnsi="Times-Roman" w:cs="Times-Roman"/>
          <w:lang w:eastAsia="en-US"/>
        </w:rPr>
        <w:t>. Le sol est supposé homogène (</w:t>
      </w:r>
      <w:r>
        <w:rPr>
          <w:rFonts w:ascii="Times-Italic" w:eastAsiaTheme="minorHAnsi" w:hAnsi="Times-Italic" w:cs="Times-Italic"/>
          <w:i/>
          <w:iCs/>
          <w:lang w:eastAsia="en-US"/>
        </w:rPr>
        <w:t>c</w:t>
      </w:r>
      <w:r>
        <w:rPr>
          <w:rFonts w:asciiTheme="minorHAnsi" w:eastAsiaTheme="minorHAnsi" w:hAnsiTheme="minorHAnsi" w:cs="Symbol"/>
          <w:lang w:eastAsia="en-US"/>
        </w:rPr>
        <w:t>’</w:t>
      </w:r>
      <w:r>
        <w:rPr>
          <w:rFonts w:ascii="Times-Roman" w:eastAsiaTheme="minorHAnsi" w:hAnsi="Times-Roman" w:cs="Times-Roman"/>
          <w:lang w:eastAsia="en-US"/>
        </w:rPr>
        <w:t xml:space="preserve">, </w:t>
      </w:r>
      <w:r>
        <w:rPr>
          <w:rFonts w:ascii="Symbol" w:eastAsiaTheme="minorHAnsi" w:hAnsi="Symbol" w:cs="Symbol"/>
          <w:lang w:eastAsia="en-US"/>
        </w:rPr>
        <w:t></w:t>
      </w:r>
      <w:r>
        <w:rPr>
          <w:rFonts w:asciiTheme="minorHAnsi" w:eastAsiaTheme="minorHAnsi" w:hAnsiTheme="minorHAnsi" w:cs="Symbol"/>
          <w:lang w:eastAsia="en-US"/>
        </w:rPr>
        <w:t>’</w:t>
      </w:r>
      <w:r>
        <w:rPr>
          <w:rFonts w:ascii="Symbol" w:eastAsiaTheme="minorHAnsi" w:hAnsi="Symbol" w:cs="Symbol"/>
          <w:lang w:eastAsia="en-US"/>
        </w:rPr>
        <w:t></w:t>
      </w:r>
      <w:r>
        <w:rPr>
          <w:rFonts w:ascii="Times-Roman" w:eastAsiaTheme="minorHAnsi" w:hAnsi="Times-Roman" w:cs="Times-Roman"/>
          <w:lang w:eastAsia="en-US"/>
        </w:rPr>
        <w:t>invariants).</w:t>
      </w:r>
    </w:p>
    <w:p w:rsidR="00595E12" w:rsidRDefault="00595E12" w:rsidP="00595E12">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Seul l’équilibre (limite) des forces s’appliquant sur le coin est considéré. L’équilibre des moments reviendrait à supposer que les trois forces appliquées sont concourantes.</w:t>
      </w:r>
    </w:p>
    <w:p w:rsidR="00595E12" w:rsidRDefault="00595E12" w:rsidP="00595E12">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 xml:space="preserve">On suppose que la surface de rupture potentielle est un plan (appelée ici coin de Culmann) passant par le pied du talus A et faisant un angle </w:t>
      </w:r>
      <w:r>
        <w:rPr>
          <w:rFonts w:ascii="Symbol" w:eastAsiaTheme="minorHAnsi" w:hAnsi="Symbol" w:cs="Symbol"/>
          <w:lang w:eastAsia="en-US"/>
        </w:rPr>
        <w:t></w:t>
      </w:r>
      <w:r>
        <w:rPr>
          <w:rFonts w:ascii="Symbol" w:eastAsiaTheme="minorHAnsi" w:hAnsi="Symbol" w:cs="Symbol"/>
          <w:lang w:eastAsia="en-US"/>
        </w:rPr>
        <w:t></w:t>
      </w:r>
      <w:r>
        <w:rPr>
          <w:rFonts w:ascii="Times-Roman" w:eastAsiaTheme="minorHAnsi" w:hAnsi="Times-Roman" w:cs="Times-Roman"/>
          <w:lang w:eastAsia="en-US"/>
        </w:rPr>
        <w:t>avec l’horizontale.</w:t>
      </w:r>
    </w:p>
    <w:p w:rsidR="00595E12" w:rsidRDefault="00595E12" w:rsidP="00595E12">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Le coin de Culmann se comporte de façon rigide</w:t>
      </w:r>
      <w:r>
        <w:rPr>
          <w:rFonts w:ascii="MS Mincho" w:eastAsia="MS Mincho" w:hAnsi="MS Mincho" w:cs="MS Mincho" w:hint="eastAsia"/>
          <w:lang w:eastAsia="en-US"/>
        </w:rPr>
        <w:t>‑</w:t>
      </w:r>
      <w:r>
        <w:rPr>
          <w:rFonts w:ascii="Times-Roman" w:eastAsiaTheme="minorHAnsi" w:hAnsi="Times-Roman" w:cs="Times-Roman"/>
          <w:lang w:eastAsia="en-US"/>
        </w:rPr>
        <w:t xml:space="preserve">plastique. On fait l’hypothèse que la contrainte de cisaillement </w:t>
      </w:r>
      <w:r>
        <w:rPr>
          <w:rFonts w:ascii="Symbol" w:eastAsiaTheme="minorHAnsi" w:hAnsi="Symbol" w:cs="Symbol"/>
          <w:lang w:eastAsia="en-US"/>
        </w:rPr>
        <w:t></w:t>
      </w:r>
      <w:r>
        <w:rPr>
          <w:rFonts w:ascii="Symbol" w:eastAsiaTheme="minorHAnsi" w:hAnsi="Symbol" w:cs="Symbol"/>
          <w:lang w:eastAsia="en-US"/>
        </w:rPr>
        <w:t></w:t>
      </w:r>
      <w:r>
        <w:rPr>
          <w:rFonts w:ascii="Times-Roman" w:eastAsiaTheme="minorHAnsi" w:hAnsi="Times-Roman" w:cs="Times-Roman"/>
          <w:lang w:eastAsia="en-US"/>
        </w:rPr>
        <w:t xml:space="preserve">= </w:t>
      </w:r>
      <w:r>
        <w:rPr>
          <w:rFonts w:ascii="Times-Italic" w:eastAsiaTheme="minorHAnsi" w:hAnsi="Times-Italic" w:cs="Times-Italic"/>
          <w:i/>
          <w:iCs/>
          <w:lang w:eastAsia="en-US"/>
        </w:rPr>
        <w:t>c</w:t>
      </w:r>
      <w:r>
        <w:rPr>
          <w:rFonts w:asciiTheme="minorHAnsi" w:eastAsiaTheme="minorHAnsi" w:hAnsiTheme="minorHAnsi" w:cs="Symbol"/>
          <w:lang w:eastAsia="en-US"/>
        </w:rPr>
        <w:t>’</w:t>
      </w:r>
      <w:r>
        <w:rPr>
          <w:rFonts w:ascii="Symbol" w:eastAsiaTheme="minorHAnsi" w:hAnsi="Symbol" w:cs="Symbol"/>
          <w:lang w:eastAsia="en-US"/>
        </w:rPr>
        <w:t></w:t>
      </w:r>
      <w:r>
        <w:rPr>
          <w:rFonts w:ascii="Times-Roman" w:eastAsiaTheme="minorHAnsi" w:hAnsi="Times-Roman" w:cs="Times-Roman"/>
          <w:lang w:eastAsia="en-US"/>
        </w:rPr>
        <w:t xml:space="preserve">+ </w:t>
      </w:r>
      <w:r>
        <w:rPr>
          <w:rFonts w:ascii="Symbol" w:eastAsiaTheme="minorHAnsi" w:hAnsi="Symbol" w:cs="Symbol"/>
          <w:lang w:eastAsia="en-US"/>
        </w:rPr>
        <w:t></w:t>
      </w:r>
      <w:r>
        <w:rPr>
          <w:rFonts w:asciiTheme="minorHAnsi" w:eastAsiaTheme="minorHAnsi" w:hAnsiTheme="minorHAnsi" w:cs="Symbol"/>
          <w:lang w:eastAsia="en-US"/>
        </w:rPr>
        <w:t>’</w:t>
      </w:r>
      <w:r>
        <w:rPr>
          <w:rFonts w:ascii="Symbol" w:eastAsiaTheme="minorHAnsi" w:hAnsi="Symbol" w:cs="Symbol"/>
          <w:lang w:eastAsia="en-US"/>
        </w:rPr>
        <w:t></w:t>
      </w:r>
      <w:r>
        <w:rPr>
          <w:rFonts w:ascii="Times-Roman" w:eastAsiaTheme="minorHAnsi" w:hAnsi="Times-Roman" w:cs="Times-Roman"/>
          <w:lang w:eastAsia="en-US"/>
        </w:rPr>
        <w:t xml:space="preserve">tan </w:t>
      </w:r>
      <w:r>
        <w:rPr>
          <w:rFonts w:ascii="Symbol" w:eastAsiaTheme="minorHAnsi" w:hAnsi="Symbol" w:cs="Symbol"/>
          <w:lang w:eastAsia="en-US"/>
        </w:rPr>
        <w:t></w:t>
      </w:r>
      <w:r>
        <w:rPr>
          <w:rFonts w:asciiTheme="minorHAnsi" w:eastAsiaTheme="minorHAnsi" w:hAnsiTheme="minorHAnsi" w:cs="Symbol"/>
          <w:lang w:eastAsia="en-US"/>
        </w:rPr>
        <w:t>’</w:t>
      </w:r>
      <w:r>
        <w:rPr>
          <w:rFonts w:ascii="Symbol" w:eastAsiaTheme="minorHAnsi" w:hAnsi="Symbol" w:cs="Symbol"/>
          <w:lang w:eastAsia="en-US"/>
        </w:rPr>
        <w:t></w:t>
      </w:r>
      <w:r>
        <w:rPr>
          <w:rFonts w:ascii="Times-Roman" w:eastAsiaTheme="minorHAnsi" w:hAnsi="Times-Roman" w:cs="Times-Roman"/>
          <w:lang w:eastAsia="en-US"/>
        </w:rPr>
        <w:t>est complètement mobilisée le long de ce plan.</w:t>
      </w:r>
    </w:p>
    <w:p w:rsidR="00595E12" w:rsidRDefault="00595E12" w:rsidP="00595E12">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 xml:space="preserve">La réaction de frottement du sol </w:t>
      </w:r>
      <w:r>
        <w:rPr>
          <w:rFonts w:ascii="Times-Italic" w:eastAsiaTheme="minorHAnsi" w:hAnsi="Times-Italic" w:cs="Times-Italic"/>
          <w:i/>
          <w:iCs/>
          <w:lang w:eastAsia="en-US"/>
        </w:rPr>
        <w:t xml:space="preserve">R </w:t>
      </w:r>
      <w:r>
        <w:rPr>
          <w:rFonts w:ascii="Times-Roman" w:eastAsiaTheme="minorHAnsi" w:hAnsi="Times-Roman" w:cs="Times-Roman"/>
          <w:lang w:eastAsia="en-US"/>
        </w:rPr>
        <w:t>sur lequel frotte le coin de Culmann est donc inclinée de l’angle</w:t>
      </w:r>
      <w:r w:rsidRPr="00595E12">
        <w:rPr>
          <w:rFonts w:ascii="Symbol" w:eastAsiaTheme="minorHAnsi" w:hAnsi="Symbol" w:cs="Times-Roman"/>
          <w:lang w:eastAsia="en-US"/>
        </w:rPr>
        <w:t></w:t>
      </w:r>
      <w:r w:rsidRPr="00595E12">
        <w:rPr>
          <w:rFonts w:ascii="Symbol" w:eastAsiaTheme="minorHAnsi" w:hAnsi="Symbol" w:cs="Cambria"/>
          <w:lang w:eastAsia="en-US"/>
        </w:rPr>
        <w:t></w:t>
      </w:r>
      <w:r>
        <w:rPr>
          <w:rFonts w:eastAsiaTheme="minorHAnsi"/>
          <w:lang w:eastAsia="en-US"/>
        </w:rPr>
        <w:t>′</w:t>
      </w:r>
      <w:r>
        <w:rPr>
          <w:rFonts w:ascii="Symbol" w:eastAsiaTheme="minorHAnsi" w:hAnsi="Symbol" w:cs="Symbol"/>
          <w:lang w:eastAsia="en-US"/>
        </w:rPr>
        <w:t></w:t>
      </w:r>
      <w:r>
        <w:rPr>
          <w:rFonts w:ascii="Times-Roman" w:eastAsiaTheme="minorHAnsi" w:hAnsi="Times-Roman" w:cs="Times-Roman"/>
          <w:lang w:eastAsia="en-US"/>
        </w:rPr>
        <w:t>sur la normale au plan de rupture.</w:t>
      </w:r>
    </w:p>
    <w:p w:rsidR="00595E12" w:rsidRDefault="00595E12" w:rsidP="00595E12">
      <w:pPr>
        <w:autoSpaceDE w:val="0"/>
        <w:autoSpaceDN w:val="0"/>
        <w:adjustRightInd w:val="0"/>
        <w:rPr>
          <w:rFonts w:ascii="Times-Roman" w:eastAsiaTheme="minorHAnsi" w:hAnsi="Times-Roman" w:cs="Times-Roman"/>
          <w:lang w:eastAsia="en-US"/>
        </w:rPr>
      </w:pPr>
    </w:p>
    <w:p w:rsidR="001307A8" w:rsidRDefault="001307A8" w:rsidP="001307A8">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 xml:space="preserve">La force de cohésion est égale à </w:t>
      </w:r>
      <w:r>
        <w:rPr>
          <w:rFonts w:ascii="Times-Italic" w:eastAsiaTheme="minorHAnsi" w:hAnsi="Times-Italic" w:cs="Times-Italic"/>
          <w:i/>
          <w:iCs/>
          <w:lang w:eastAsia="en-US"/>
        </w:rPr>
        <w:t xml:space="preserve">C </w:t>
      </w:r>
      <w:r>
        <w:rPr>
          <w:rFonts w:ascii="Times-Roman" w:eastAsiaTheme="minorHAnsi" w:hAnsi="Times-Roman" w:cs="Times-Roman"/>
          <w:lang w:eastAsia="en-US"/>
        </w:rPr>
        <w:t xml:space="preserve">= </w:t>
      </w:r>
      <w:r>
        <w:rPr>
          <w:rFonts w:ascii="Times-Italic" w:eastAsiaTheme="minorHAnsi" w:hAnsi="Times-Italic" w:cs="Times-Italic"/>
          <w:i/>
          <w:iCs/>
          <w:lang w:eastAsia="en-US"/>
        </w:rPr>
        <w:t>c</w:t>
      </w:r>
      <w:r>
        <w:rPr>
          <w:rFonts w:asciiTheme="minorHAnsi" w:eastAsiaTheme="minorHAnsi" w:hAnsiTheme="minorHAnsi" w:cs="Symbol"/>
          <w:lang w:eastAsia="en-US"/>
        </w:rPr>
        <w:t>’</w:t>
      </w:r>
      <w:r>
        <w:rPr>
          <w:rFonts w:ascii="Symbol" w:eastAsiaTheme="minorHAnsi" w:hAnsi="Symbol" w:cs="Symbol"/>
          <w:lang w:eastAsia="en-US"/>
        </w:rPr>
        <w:t></w:t>
      </w:r>
      <w:r>
        <w:rPr>
          <w:rFonts w:ascii="Symbol" w:eastAsiaTheme="minorHAnsi" w:hAnsi="Symbol" w:cs="Symbol"/>
          <w:lang w:eastAsia="en-US"/>
        </w:rPr>
        <w:t></w:t>
      </w:r>
      <w:r>
        <w:rPr>
          <w:rFonts w:ascii="Symbol" w:eastAsiaTheme="minorHAnsi" w:hAnsi="Symbol" w:cs="Symbol"/>
          <w:lang w:eastAsia="en-US"/>
        </w:rPr>
        <w:t></w:t>
      </w:r>
      <w:r>
        <w:rPr>
          <w:rFonts w:ascii="Times-Roman" w:eastAsiaTheme="minorHAnsi" w:hAnsi="Times-Roman" w:cs="Times-Roman"/>
          <w:lang w:eastAsia="en-US"/>
        </w:rPr>
        <w:t>AC.</w:t>
      </w:r>
    </w:p>
    <w:p w:rsidR="001307A8" w:rsidRDefault="001307A8" w:rsidP="001307A8">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 xml:space="preserve">On considère maintenant l’équilibre « limite » normalement et parallèlement au plan de glissement incliné à </w:t>
      </w:r>
      <w:r>
        <w:rPr>
          <w:rFonts w:ascii="Symbol" w:eastAsiaTheme="minorHAnsi" w:hAnsi="Symbol" w:cs="Symbol"/>
          <w:lang w:eastAsia="en-US"/>
        </w:rPr>
        <w:t></w:t>
      </w:r>
      <w:r>
        <w:rPr>
          <w:rFonts w:ascii="Symbol" w:eastAsiaTheme="minorHAnsi" w:hAnsi="Symbol" w:cs="Symbol"/>
          <w:lang w:eastAsia="en-US"/>
        </w:rPr>
        <w:t></w:t>
      </w:r>
      <w:r>
        <w:rPr>
          <w:rFonts w:ascii="Times-Roman" w:eastAsiaTheme="minorHAnsi" w:hAnsi="Times-Roman" w:cs="Times-Roman"/>
          <w:lang w:eastAsia="en-US"/>
        </w:rPr>
        <w:t xml:space="preserve">sur l’horizontale. L’objectif est la recherche de la surface la plus défavorable en faisant varier l’inclinaison </w:t>
      </w:r>
      <w:r>
        <w:rPr>
          <w:rFonts w:ascii="Symbol" w:eastAsiaTheme="minorHAnsi" w:hAnsi="Symbol" w:cs="Symbol"/>
          <w:lang w:eastAsia="en-US"/>
        </w:rPr>
        <w:t></w:t>
      </w:r>
      <w:r>
        <w:rPr>
          <w:rFonts w:ascii="Times-Roman" w:eastAsiaTheme="minorHAnsi" w:hAnsi="Times-Roman" w:cs="Times-Roman"/>
          <w:lang w:eastAsia="en-US"/>
        </w:rPr>
        <w:t xml:space="preserve">, c’est-à-dire la recherche du minimum de </w:t>
      </w:r>
      <w:r>
        <w:rPr>
          <w:rFonts w:ascii="Times-Italic" w:eastAsiaTheme="minorHAnsi" w:hAnsi="Times-Italic" w:cs="Times-Italic"/>
          <w:i/>
          <w:iCs/>
          <w:lang w:eastAsia="en-US"/>
        </w:rPr>
        <w:t>F</w:t>
      </w:r>
      <w:r>
        <w:rPr>
          <w:rFonts w:ascii="Symbol" w:eastAsiaTheme="minorHAnsi" w:hAnsi="Symbol" w:cs="Symbol"/>
          <w:sz w:val="16"/>
          <w:szCs w:val="16"/>
          <w:lang w:eastAsia="en-US"/>
        </w:rPr>
        <w:t></w:t>
      </w:r>
      <w:r>
        <w:rPr>
          <w:rFonts w:ascii="Times-Roman" w:eastAsiaTheme="minorHAnsi" w:hAnsi="Times-Roman" w:cs="Times-Roman"/>
          <w:lang w:eastAsia="en-US"/>
        </w:rPr>
        <w:t>.</w:t>
      </w:r>
    </w:p>
    <w:p w:rsidR="00595E12" w:rsidRDefault="001307A8" w:rsidP="001307A8">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 xml:space="preserve">On écrit les équations d’équilibre en tenant compte des coefficients de sécurité sur tan </w:t>
      </w:r>
      <w:r w:rsidRPr="001307A8">
        <w:rPr>
          <w:rFonts w:ascii="Symbol" w:eastAsiaTheme="minorHAnsi" w:hAnsi="Symbol" w:cs="Cambria"/>
          <w:lang w:eastAsia="en-US"/>
        </w:rPr>
        <w:t></w:t>
      </w:r>
      <w:r>
        <w:rPr>
          <w:rFonts w:eastAsiaTheme="minorHAnsi"/>
          <w:lang w:eastAsia="en-US"/>
        </w:rPr>
        <w:t>′</w:t>
      </w:r>
      <w:r>
        <w:rPr>
          <w:rFonts w:ascii="Symbol" w:eastAsiaTheme="minorHAnsi" w:hAnsi="Symbol" w:cs="Symbol"/>
          <w:lang w:eastAsia="en-US"/>
        </w:rPr>
        <w:t></w:t>
      </w:r>
      <w:r>
        <w:rPr>
          <w:rFonts w:ascii="Times-Roman" w:eastAsiaTheme="minorHAnsi" w:hAnsi="Times-Roman" w:cs="Times-Roman"/>
          <w:lang w:eastAsia="en-US"/>
        </w:rPr>
        <w:t xml:space="preserve">et </w:t>
      </w:r>
      <w:r>
        <w:rPr>
          <w:rFonts w:ascii="Times-Italic" w:eastAsiaTheme="minorHAnsi" w:hAnsi="Times-Italic" w:cs="Times-Italic"/>
          <w:i/>
          <w:iCs/>
          <w:lang w:eastAsia="en-US"/>
        </w:rPr>
        <w:t>c</w:t>
      </w:r>
      <w:r>
        <w:rPr>
          <w:rFonts w:eastAsiaTheme="minorHAnsi"/>
          <w:lang w:eastAsia="en-US"/>
        </w:rPr>
        <w:t>′</w:t>
      </w:r>
      <w:r>
        <w:rPr>
          <w:rFonts w:ascii="Symbol" w:eastAsiaTheme="minorHAnsi" w:hAnsi="Symbol" w:cs="Symbol"/>
          <w:lang w:eastAsia="en-US"/>
        </w:rPr>
        <w:t></w:t>
      </w:r>
      <w:r>
        <w:rPr>
          <w:rFonts w:ascii="Times-Roman" w:eastAsiaTheme="minorHAnsi" w:hAnsi="Times-Roman" w:cs="Times-Roman"/>
          <w:lang w:eastAsia="en-US"/>
        </w:rPr>
        <w:t>:</w:t>
      </w:r>
    </w:p>
    <w:p w:rsidR="001307A8" w:rsidRDefault="001307A8" w:rsidP="001307A8">
      <w:pPr>
        <w:autoSpaceDE w:val="0"/>
        <w:autoSpaceDN w:val="0"/>
        <w:adjustRightInd w:val="0"/>
        <w:rPr>
          <w:rFonts w:ascii="Times-Roman" w:eastAsiaTheme="minorHAnsi" w:hAnsi="Times-Roman" w:cs="Times-Roman"/>
          <w:lang w:eastAsia="en-US"/>
        </w:rPr>
      </w:pPr>
    </w:p>
    <w:p w:rsidR="001307A8" w:rsidRDefault="001307A8" w:rsidP="001307A8">
      <w:pPr>
        <w:autoSpaceDE w:val="0"/>
        <w:autoSpaceDN w:val="0"/>
        <w:adjustRightInd w:val="0"/>
        <w:jc w:val="center"/>
        <w:rPr>
          <w:rFonts w:ascii="Times-Roman" w:eastAsiaTheme="minorHAnsi" w:hAnsi="Times-Roman" w:cs="Times-Roman"/>
          <w:lang w:eastAsia="en-US"/>
        </w:rPr>
      </w:pPr>
      <w:r>
        <w:rPr>
          <w:noProof/>
        </w:rPr>
        <w:drawing>
          <wp:inline distT="0" distB="0" distL="0" distR="0" wp14:anchorId="691046DE" wp14:editId="39FA9F4F">
            <wp:extent cx="996183" cy="338446"/>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7193" cy="348981"/>
                    </a:xfrm>
                    <a:prstGeom prst="rect">
                      <a:avLst/>
                    </a:prstGeom>
                  </pic:spPr>
                </pic:pic>
              </a:graphicData>
            </a:graphic>
          </wp:inline>
        </w:drawing>
      </w:r>
    </w:p>
    <w:p w:rsidR="001307A8" w:rsidRDefault="001307A8" w:rsidP="001307A8">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 xml:space="preserve">Avec l’indice </w:t>
      </w:r>
      <w:r>
        <w:rPr>
          <w:rFonts w:ascii="Times-Roman" w:eastAsiaTheme="minorHAnsi" w:hAnsi="Times-Roman" w:cs="Times-Roman"/>
          <w:sz w:val="16"/>
          <w:szCs w:val="16"/>
          <w:lang w:eastAsia="en-US"/>
        </w:rPr>
        <w:t xml:space="preserve">d </w:t>
      </w:r>
      <w:r>
        <w:rPr>
          <w:rFonts w:ascii="Times-Roman" w:eastAsiaTheme="minorHAnsi" w:hAnsi="Times-Roman" w:cs="Times-Roman"/>
          <w:lang w:eastAsia="en-US"/>
        </w:rPr>
        <w:t>pour « design ».</w:t>
      </w:r>
    </w:p>
    <w:p w:rsidR="001307A8" w:rsidRDefault="001307A8" w:rsidP="001307A8">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 xml:space="preserve">Les paramètres des forces correspondent à des modules, avec </w:t>
      </w:r>
      <w:r>
        <w:rPr>
          <w:rFonts w:ascii="Times-Italic" w:eastAsiaTheme="minorHAnsi" w:hAnsi="Times-Italic" w:cs="Times-Italic"/>
          <w:i/>
          <w:iCs/>
          <w:lang w:eastAsia="en-US"/>
        </w:rPr>
        <w:t xml:space="preserve">W </w:t>
      </w:r>
      <w:r>
        <w:rPr>
          <w:rFonts w:ascii="Times-Roman" w:eastAsiaTheme="minorHAnsi" w:hAnsi="Times-Roman" w:cs="Times-Roman"/>
          <w:lang w:eastAsia="en-US"/>
        </w:rPr>
        <w:t>poids du coin :</w:t>
      </w:r>
    </w:p>
    <w:p w:rsidR="001307A8" w:rsidRDefault="001307A8" w:rsidP="001307A8">
      <w:pPr>
        <w:autoSpaceDE w:val="0"/>
        <w:autoSpaceDN w:val="0"/>
        <w:adjustRightInd w:val="0"/>
        <w:rPr>
          <w:rFonts w:ascii="Times-Roman" w:eastAsiaTheme="minorHAnsi" w:hAnsi="Times-Roman" w:cs="Times-Roman"/>
          <w:lang w:eastAsia="en-US"/>
        </w:rPr>
      </w:pPr>
    </w:p>
    <w:p w:rsidR="001307A8" w:rsidRDefault="001307A8" w:rsidP="001307A8">
      <w:pPr>
        <w:autoSpaceDE w:val="0"/>
        <w:autoSpaceDN w:val="0"/>
        <w:adjustRightInd w:val="0"/>
        <w:jc w:val="center"/>
        <w:rPr>
          <w:rFonts w:ascii="Times-Roman" w:eastAsiaTheme="minorHAnsi" w:hAnsi="Times-Roman" w:cs="Times-Roman"/>
          <w:lang w:eastAsia="en-US"/>
        </w:rPr>
      </w:pPr>
      <w:r>
        <w:rPr>
          <w:noProof/>
        </w:rPr>
        <w:drawing>
          <wp:inline distT="0" distB="0" distL="0" distR="0" wp14:anchorId="46297A82" wp14:editId="4B96B02A">
            <wp:extent cx="1762180" cy="86446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87486" cy="876880"/>
                    </a:xfrm>
                    <a:prstGeom prst="rect">
                      <a:avLst/>
                    </a:prstGeom>
                  </pic:spPr>
                </pic:pic>
              </a:graphicData>
            </a:graphic>
          </wp:inline>
        </w:drawing>
      </w:r>
    </w:p>
    <w:p w:rsidR="001307A8" w:rsidRDefault="001307A8" w:rsidP="001307A8">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 xml:space="preserve">On exprime le coefficient de sécurité </w:t>
      </w:r>
      <w:r>
        <w:rPr>
          <w:rFonts w:ascii="Times-Italic" w:eastAsiaTheme="minorHAnsi" w:hAnsi="Times-Italic" w:cs="Times-Italic"/>
          <w:i/>
          <w:iCs/>
          <w:lang w:eastAsia="en-US"/>
        </w:rPr>
        <w:t>F</w:t>
      </w:r>
      <w:r>
        <w:rPr>
          <w:rFonts w:ascii="Symbol" w:eastAsiaTheme="minorHAnsi" w:hAnsi="Symbol" w:cs="Symbol"/>
          <w:sz w:val="16"/>
          <w:szCs w:val="16"/>
          <w:lang w:eastAsia="en-US"/>
        </w:rPr>
        <w:t></w:t>
      </w:r>
      <w:r>
        <w:rPr>
          <w:rFonts w:ascii="Symbol" w:eastAsiaTheme="minorHAnsi" w:hAnsi="Symbol" w:cs="Symbol"/>
          <w:sz w:val="16"/>
          <w:szCs w:val="16"/>
          <w:lang w:eastAsia="en-US"/>
        </w:rPr>
        <w:t></w:t>
      </w:r>
      <w:r>
        <w:rPr>
          <w:rFonts w:ascii="Times-Roman" w:eastAsiaTheme="minorHAnsi" w:hAnsi="Times-Roman" w:cs="Times-Roman"/>
          <w:lang w:eastAsia="en-US"/>
        </w:rPr>
        <w:t>par le rapport des efforts résistants tangentiels maxima (mobilisables) sur les efforts moteurs tangentiels sur la ligne de glissement (mobilisés).</w:t>
      </w:r>
    </w:p>
    <w:p w:rsidR="001307A8" w:rsidRDefault="00BE070A" w:rsidP="001307A8">
      <w:pPr>
        <w:autoSpaceDE w:val="0"/>
        <w:autoSpaceDN w:val="0"/>
        <w:adjustRightInd w:val="0"/>
        <w:jc w:val="center"/>
        <w:rPr>
          <w:rFonts w:ascii="Times-Roman" w:eastAsiaTheme="minorHAnsi" w:hAnsi="Times-Roman" w:cs="Times-Roman"/>
          <w:lang w:eastAsia="en-US"/>
        </w:rPr>
      </w:pPr>
      <w:r>
        <w:rPr>
          <w:rFonts w:ascii="Times-Italic" w:eastAsiaTheme="minorHAnsi" w:hAnsi="Times-Italic" w:cs="Times-Italic"/>
          <w:i/>
          <w:iCs/>
          <w:noProof/>
        </w:rPr>
        <mc:AlternateContent>
          <mc:Choice Requires="wps">
            <w:drawing>
              <wp:anchor distT="0" distB="0" distL="114300" distR="114300" simplePos="0" relativeHeight="251659264" behindDoc="0" locked="0" layoutInCell="1" allowOverlap="1" wp14:anchorId="542B620C" wp14:editId="1F5D3C9B">
                <wp:simplePos x="0" y="0"/>
                <wp:positionH relativeFrom="column">
                  <wp:posOffset>3820350</wp:posOffset>
                </wp:positionH>
                <wp:positionV relativeFrom="paragraph">
                  <wp:posOffset>484043</wp:posOffset>
                </wp:positionV>
                <wp:extent cx="439387" cy="302821"/>
                <wp:effectExtent l="0" t="0" r="18415" b="21590"/>
                <wp:wrapNone/>
                <wp:docPr id="11" name="Zone de texte 11"/>
                <wp:cNvGraphicFramePr/>
                <a:graphic xmlns:a="http://schemas.openxmlformats.org/drawingml/2006/main">
                  <a:graphicData uri="http://schemas.microsoft.com/office/word/2010/wordprocessingShape">
                    <wps:wsp>
                      <wps:cNvSpPr txBox="1"/>
                      <wps:spPr>
                        <a:xfrm>
                          <a:off x="0" y="0"/>
                          <a:ext cx="439387" cy="3028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070A" w:rsidRDefault="00BE070A">
                            <w:r>
                              <w:t>Eq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2B620C" id="_x0000_t202" coordsize="21600,21600" o:spt="202" path="m,l,21600r21600,l21600,xe">
                <v:stroke joinstyle="miter"/>
                <v:path gradientshapeok="t" o:connecttype="rect"/>
              </v:shapetype>
              <v:shape id="Zone de texte 11" o:spid="_x0000_s1026" type="#_x0000_t202" style="position:absolute;left:0;text-align:left;margin-left:300.8pt;margin-top:38.1pt;width:34.6pt;height:2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" fillcolor="white [3201]" strokeweight=".5pt">
                <v:textbox>
                  <w:txbxContent>
                    <w:p w:rsidR="00BE070A" w:rsidRDefault="00BE070A">
                      <w:r>
                        <w:t>Eq 1</w:t>
                      </w:r>
                    </w:p>
                  </w:txbxContent>
                </v:textbox>
              </v:shape>
            </w:pict>
          </mc:Fallback>
        </mc:AlternateContent>
      </w:r>
      <w:r w:rsidR="001307A8">
        <w:rPr>
          <w:noProof/>
        </w:rPr>
        <w:drawing>
          <wp:inline distT="0" distB="0" distL="0" distR="0" wp14:anchorId="4643808F" wp14:editId="26A7B535">
            <wp:extent cx="1670832" cy="783772"/>
            <wp:effectExtent l="0" t="0" r="571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97364" cy="796218"/>
                    </a:xfrm>
                    <a:prstGeom prst="rect">
                      <a:avLst/>
                    </a:prstGeom>
                  </pic:spPr>
                </pic:pic>
              </a:graphicData>
            </a:graphic>
          </wp:inline>
        </w:drawing>
      </w:r>
    </w:p>
    <w:p w:rsidR="001307A8" w:rsidRDefault="001307A8" w:rsidP="001307A8">
      <w:pPr>
        <w:autoSpaceDE w:val="0"/>
        <w:autoSpaceDN w:val="0"/>
        <w:adjustRightInd w:val="0"/>
        <w:rPr>
          <w:rFonts w:ascii="Times-Roman" w:eastAsiaTheme="minorHAnsi" w:hAnsi="Times-Roman" w:cs="Times-Roman"/>
          <w:lang w:eastAsia="en-US"/>
        </w:rPr>
      </w:pPr>
    </w:p>
    <w:p w:rsidR="005F0B82" w:rsidRDefault="005F0B82" w:rsidP="005F0B82">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On retrouve bien qu’en l’absence de cohésion, le coefficient de sécurité est égal à :</w:t>
      </w:r>
    </w:p>
    <w:p w:rsidR="005F0B82" w:rsidRDefault="005F0B82" w:rsidP="005F0B82">
      <w:pPr>
        <w:autoSpaceDE w:val="0"/>
        <w:autoSpaceDN w:val="0"/>
        <w:adjustRightInd w:val="0"/>
        <w:jc w:val="center"/>
        <w:rPr>
          <w:rFonts w:ascii="Times-Italic" w:eastAsiaTheme="minorHAnsi" w:hAnsi="Times-Italic" w:cs="Times-Italic"/>
          <w:i/>
          <w:iCs/>
          <w:lang w:eastAsia="en-US"/>
        </w:rPr>
      </w:pPr>
    </w:p>
    <w:p w:rsidR="001307A8" w:rsidRDefault="005F0B82" w:rsidP="005F0B82">
      <w:pPr>
        <w:autoSpaceDE w:val="0"/>
        <w:autoSpaceDN w:val="0"/>
        <w:adjustRightInd w:val="0"/>
        <w:jc w:val="center"/>
        <w:rPr>
          <w:rFonts w:ascii="Times-Roman" w:eastAsiaTheme="minorHAnsi" w:hAnsi="Times-Roman" w:cs="Times-Roman"/>
          <w:lang w:eastAsia="en-US"/>
        </w:rPr>
      </w:pPr>
      <w:r>
        <w:rPr>
          <w:rFonts w:ascii="Times-Italic" w:eastAsiaTheme="minorHAnsi" w:hAnsi="Times-Italic" w:cs="Times-Italic"/>
          <w:i/>
          <w:iCs/>
          <w:lang w:eastAsia="en-US"/>
        </w:rPr>
        <w:t>F</w:t>
      </w:r>
      <w:r>
        <w:rPr>
          <w:rFonts w:ascii="Symbol" w:eastAsiaTheme="minorHAnsi" w:hAnsi="Symbol" w:cs="Symbol"/>
          <w:sz w:val="16"/>
          <w:szCs w:val="16"/>
          <w:lang w:eastAsia="en-US"/>
        </w:rPr>
        <w:t></w:t>
      </w:r>
      <w:r>
        <w:rPr>
          <w:rFonts w:ascii="Times-Roman" w:eastAsiaTheme="minorHAnsi" w:hAnsi="Times-Roman" w:cs="Times-Roman"/>
          <w:lang w:eastAsia="en-US"/>
        </w:rPr>
        <w:t xml:space="preserve">= tan </w:t>
      </w:r>
      <w:r w:rsidRPr="005F0B82">
        <w:rPr>
          <w:rFonts w:ascii="Symbol" w:eastAsiaTheme="minorHAnsi" w:hAnsi="Symbol" w:cs="Cambria"/>
          <w:lang w:eastAsia="en-US"/>
        </w:rPr>
        <w:t></w:t>
      </w:r>
      <w:r>
        <w:rPr>
          <w:rFonts w:eastAsiaTheme="minorHAnsi"/>
          <w:lang w:eastAsia="en-US"/>
        </w:rPr>
        <w:t>′</w:t>
      </w:r>
      <w:r>
        <w:rPr>
          <w:rFonts w:ascii="Symbol" w:eastAsiaTheme="minorHAnsi" w:hAnsi="Symbol" w:cs="Symbol"/>
          <w:lang w:eastAsia="en-US"/>
        </w:rPr>
        <w:t></w:t>
      </w:r>
      <w:r>
        <w:rPr>
          <w:rFonts w:ascii="Times-Roman" w:eastAsiaTheme="minorHAnsi" w:hAnsi="Times-Roman" w:cs="Times-Roman"/>
          <w:lang w:eastAsia="en-US"/>
        </w:rPr>
        <w:t>/tan</w:t>
      </w:r>
      <w:r>
        <w:rPr>
          <w:rFonts w:ascii="Symbol" w:eastAsiaTheme="minorHAnsi" w:hAnsi="Symbol" w:cs="Symbol"/>
          <w:lang w:eastAsia="en-US"/>
        </w:rPr>
        <w:t></w:t>
      </w:r>
    </w:p>
    <w:p w:rsidR="001307A8" w:rsidRDefault="001307A8" w:rsidP="001307A8">
      <w:pPr>
        <w:autoSpaceDE w:val="0"/>
        <w:autoSpaceDN w:val="0"/>
        <w:adjustRightInd w:val="0"/>
        <w:rPr>
          <w:rFonts w:ascii="Times-Roman" w:eastAsiaTheme="minorHAnsi" w:hAnsi="Times-Roman" w:cs="Times-Roman"/>
          <w:lang w:eastAsia="en-US"/>
        </w:rPr>
      </w:pPr>
    </w:p>
    <w:p w:rsidR="00254E5D" w:rsidRDefault="00254E5D" w:rsidP="00254E5D">
      <w:pPr>
        <w:autoSpaceDE w:val="0"/>
        <w:autoSpaceDN w:val="0"/>
        <w:adjustRightInd w:val="0"/>
        <w:rPr>
          <w:rFonts w:ascii="Times-Roman" w:eastAsiaTheme="minorHAnsi" w:hAnsi="Times-Roman" w:cs="Times-Roman"/>
          <w:lang w:eastAsia="en-US"/>
        </w:rPr>
      </w:pPr>
    </w:p>
    <w:p w:rsidR="00254E5D" w:rsidRDefault="00BE070A" w:rsidP="00254E5D">
      <w:pPr>
        <w:autoSpaceDE w:val="0"/>
        <w:autoSpaceDN w:val="0"/>
        <w:adjustRightInd w:val="0"/>
        <w:rPr>
          <w:rFonts w:ascii="Eurostile-Demi" w:eastAsiaTheme="minorHAnsi" w:hAnsi="Eurostile-Demi" w:cs="Eurostile-Demi"/>
          <w:sz w:val="18"/>
          <w:szCs w:val="18"/>
          <w:lang w:eastAsia="en-US"/>
        </w:rPr>
      </w:pPr>
      <w:r>
        <w:rPr>
          <w:rFonts w:ascii="Eurostile-Demi" w:eastAsiaTheme="minorHAnsi" w:hAnsi="Eurostile-Demi" w:cs="Eurostile-Demi"/>
          <w:sz w:val="18"/>
          <w:szCs w:val="18"/>
          <w:lang w:eastAsia="en-US"/>
        </w:rPr>
        <w:t xml:space="preserve">Réponse </w:t>
      </w:r>
      <w:r w:rsidR="00254E5D">
        <w:rPr>
          <w:rFonts w:ascii="Eurostile-Demi" w:eastAsiaTheme="minorHAnsi" w:hAnsi="Eurostile-Demi" w:cs="Eurostile-Demi"/>
          <w:sz w:val="18"/>
          <w:szCs w:val="18"/>
          <w:lang w:eastAsia="en-US"/>
        </w:rPr>
        <w:t>n° 2</w:t>
      </w:r>
    </w:p>
    <w:p w:rsidR="00254E5D" w:rsidRDefault="00254E5D" w:rsidP="00254E5D">
      <w:pPr>
        <w:autoSpaceDE w:val="0"/>
        <w:autoSpaceDN w:val="0"/>
        <w:adjustRightInd w:val="0"/>
        <w:rPr>
          <w:rFonts w:ascii="Times-Roman" w:eastAsiaTheme="minorHAnsi" w:hAnsi="Times-Roman" w:cs="Times-Roman"/>
          <w:lang w:eastAsia="en-US"/>
        </w:rPr>
      </w:pPr>
    </w:p>
    <w:p w:rsidR="00BE070A" w:rsidRDefault="00BE070A" w:rsidP="00BE070A">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 xml:space="preserve">D’après l'équation 1, le tableau suivant montre que </w:t>
      </w:r>
      <w:r>
        <w:rPr>
          <w:rFonts w:ascii="Times-Italic" w:eastAsiaTheme="minorHAnsi" w:hAnsi="Times-Italic" w:cs="Times-Italic"/>
          <w:i/>
          <w:iCs/>
          <w:lang w:eastAsia="en-US"/>
        </w:rPr>
        <w:t>F</w:t>
      </w:r>
      <w:r>
        <w:rPr>
          <w:rFonts w:ascii="Symbol" w:eastAsiaTheme="minorHAnsi" w:hAnsi="Symbol" w:cs="Symbol"/>
          <w:sz w:val="16"/>
          <w:szCs w:val="16"/>
          <w:lang w:eastAsia="en-US"/>
        </w:rPr>
        <w:t></w:t>
      </w:r>
      <w:r>
        <w:rPr>
          <w:rFonts w:ascii="Symbol" w:eastAsiaTheme="minorHAnsi" w:hAnsi="Symbol" w:cs="Symbol"/>
          <w:sz w:val="16"/>
          <w:szCs w:val="16"/>
          <w:lang w:eastAsia="en-US"/>
        </w:rPr>
        <w:t></w:t>
      </w:r>
      <w:r>
        <w:rPr>
          <w:rFonts w:ascii="Times-Roman" w:eastAsiaTheme="minorHAnsi" w:hAnsi="Times-Roman" w:cs="Times-Roman"/>
          <w:lang w:eastAsia="en-US"/>
        </w:rPr>
        <w:t xml:space="preserve">passe par un minimum </w:t>
      </w:r>
      <w:r>
        <w:rPr>
          <w:rFonts w:ascii="Times-Italic" w:eastAsiaTheme="minorHAnsi" w:hAnsi="Times-Italic" w:cs="Times-Italic"/>
          <w:i/>
          <w:iCs/>
          <w:lang w:eastAsia="en-US"/>
        </w:rPr>
        <w:t>F</w:t>
      </w:r>
      <w:r>
        <w:rPr>
          <w:rFonts w:ascii="Times-Italic" w:eastAsiaTheme="minorHAnsi" w:hAnsi="Times-Italic" w:cs="Times-Italic"/>
          <w:i/>
          <w:iCs/>
          <w:sz w:val="16"/>
          <w:szCs w:val="16"/>
          <w:lang w:eastAsia="en-US"/>
        </w:rPr>
        <w:t xml:space="preserve">q </w:t>
      </w:r>
      <w:r>
        <w:rPr>
          <w:rFonts w:ascii="Times-Roman" w:eastAsiaTheme="minorHAnsi" w:hAnsi="Times-Roman" w:cs="Times-Roman"/>
          <w:lang w:eastAsia="en-US"/>
        </w:rPr>
        <w:t xml:space="preserve">≈ 1,867, obtenu pour </w:t>
      </w:r>
      <w:r>
        <w:rPr>
          <w:rFonts w:ascii="Symbol" w:eastAsiaTheme="minorHAnsi" w:hAnsi="Symbol" w:cs="Symbol"/>
          <w:lang w:eastAsia="en-US"/>
        </w:rPr>
        <w:t></w:t>
      </w:r>
      <w:r>
        <w:rPr>
          <w:rFonts w:ascii="Symbol" w:eastAsiaTheme="minorHAnsi" w:hAnsi="Symbol" w:cs="Symbol"/>
          <w:lang w:eastAsia="en-US"/>
        </w:rPr>
        <w:t></w:t>
      </w:r>
      <w:r>
        <w:rPr>
          <w:rFonts w:ascii="Times-Roman" w:eastAsiaTheme="minorHAnsi" w:hAnsi="Times-Roman" w:cs="Times-Roman"/>
          <w:lang w:eastAsia="en-US"/>
        </w:rPr>
        <w:t xml:space="preserve">≈ 37,5°. Le point d’émergence est à une distance </w:t>
      </w:r>
      <w:r>
        <w:rPr>
          <w:rFonts w:ascii="Times-Italic" w:eastAsiaTheme="minorHAnsi" w:hAnsi="Times-Italic" w:cs="Times-Italic"/>
          <w:i/>
          <w:iCs/>
          <w:lang w:eastAsia="en-US"/>
        </w:rPr>
        <w:t xml:space="preserve">L </w:t>
      </w:r>
      <w:r>
        <w:rPr>
          <w:rFonts w:ascii="Times-Roman" w:eastAsiaTheme="minorHAnsi" w:hAnsi="Times-Roman" w:cs="Times-Roman"/>
          <w:lang w:eastAsia="en-US"/>
        </w:rPr>
        <w:t>= 7,18 m de la crête du talus.</w:t>
      </w:r>
    </w:p>
    <w:p w:rsidR="00BE070A" w:rsidRDefault="00BE070A" w:rsidP="00BE070A">
      <w:pPr>
        <w:autoSpaceDE w:val="0"/>
        <w:autoSpaceDN w:val="0"/>
        <w:adjustRightInd w:val="0"/>
        <w:rPr>
          <w:rFonts w:ascii="Times-Roman" w:eastAsiaTheme="minorHAnsi" w:hAnsi="Times-Roman" w:cs="Times-Roman"/>
          <w:lang w:eastAsia="en-US"/>
        </w:rPr>
      </w:pPr>
    </w:p>
    <w:p w:rsidR="00254E5D" w:rsidRDefault="00BE070A" w:rsidP="00BE070A">
      <w:pPr>
        <w:autoSpaceDE w:val="0"/>
        <w:autoSpaceDN w:val="0"/>
        <w:adjustRightInd w:val="0"/>
        <w:jc w:val="center"/>
        <w:rPr>
          <w:rFonts w:ascii="Times-Roman" w:eastAsiaTheme="minorHAnsi" w:hAnsi="Times-Roman" w:cs="Times-Roman"/>
          <w:lang w:eastAsia="en-US"/>
        </w:rPr>
      </w:pPr>
      <w:r>
        <w:rPr>
          <w:noProof/>
        </w:rPr>
        <w:drawing>
          <wp:inline distT="0" distB="0" distL="0" distR="0" wp14:anchorId="509C4D31" wp14:editId="44F27ED9">
            <wp:extent cx="3936670" cy="847478"/>
            <wp:effectExtent l="0" t="0" r="698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57192" cy="851896"/>
                    </a:xfrm>
                    <a:prstGeom prst="rect">
                      <a:avLst/>
                    </a:prstGeom>
                  </pic:spPr>
                </pic:pic>
              </a:graphicData>
            </a:graphic>
          </wp:inline>
        </w:drawing>
      </w:r>
    </w:p>
    <w:p w:rsidR="00254E5D" w:rsidRDefault="00254E5D" w:rsidP="00254E5D">
      <w:pPr>
        <w:autoSpaceDE w:val="0"/>
        <w:autoSpaceDN w:val="0"/>
        <w:adjustRightInd w:val="0"/>
        <w:jc w:val="center"/>
      </w:pPr>
    </w:p>
    <w:p w:rsidR="003C7173" w:rsidRDefault="00BE070A" w:rsidP="003C7173">
      <w:pPr>
        <w:autoSpaceDE w:val="0"/>
        <w:autoSpaceDN w:val="0"/>
        <w:adjustRightInd w:val="0"/>
        <w:rPr>
          <w:rFonts w:ascii="Eurostile-Demi" w:eastAsiaTheme="minorHAnsi" w:hAnsi="Eurostile-Demi" w:cs="Eurostile-Demi"/>
          <w:sz w:val="18"/>
          <w:szCs w:val="18"/>
          <w:lang w:eastAsia="en-US"/>
        </w:rPr>
      </w:pPr>
      <w:r>
        <w:rPr>
          <w:rFonts w:ascii="Eurostile-Demi" w:eastAsiaTheme="minorHAnsi" w:hAnsi="Eurostile-Demi" w:cs="Eurostile-Demi"/>
          <w:sz w:val="18"/>
          <w:szCs w:val="18"/>
          <w:lang w:eastAsia="en-US"/>
        </w:rPr>
        <w:t xml:space="preserve">Réponse </w:t>
      </w:r>
      <w:r w:rsidR="003C7173">
        <w:rPr>
          <w:rFonts w:ascii="Eurostile-Demi" w:eastAsiaTheme="minorHAnsi" w:hAnsi="Eurostile-Demi" w:cs="Eurostile-Demi"/>
          <w:sz w:val="18"/>
          <w:szCs w:val="18"/>
          <w:lang w:eastAsia="en-US"/>
        </w:rPr>
        <w:t>n° 3</w:t>
      </w:r>
    </w:p>
    <w:p w:rsidR="00BE070A" w:rsidRDefault="00BE070A" w:rsidP="00221549">
      <w:pPr>
        <w:autoSpaceDE w:val="0"/>
        <w:autoSpaceDN w:val="0"/>
        <w:adjustRightInd w:val="0"/>
        <w:jc w:val="center"/>
        <w:rPr>
          <w:rFonts w:ascii="Times-Roman" w:eastAsiaTheme="minorHAnsi" w:hAnsi="Times-Roman" w:cs="Times-Roman"/>
          <w:lang w:eastAsia="en-US"/>
        </w:rPr>
      </w:pPr>
      <w:r>
        <w:rPr>
          <w:noProof/>
        </w:rPr>
        <w:lastRenderedPageBreak/>
        <w:drawing>
          <wp:inline distT="0" distB="0" distL="0" distR="0" wp14:anchorId="6AB595AE" wp14:editId="6DA07620">
            <wp:extent cx="5760720" cy="545338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5453380"/>
                    </a:xfrm>
                    <a:prstGeom prst="rect">
                      <a:avLst/>
                    </a:prstGeom>
                  </pic:spPr>
                </pic:pic>
              </a:graphicData>
            </a:graphic>
          </wp:inline>
        </w:drawing>
      </w:r>
    </w:p>
    <w:p w:rsidR="00221549" w:rsidRDefault="00221549" w:rsidP="003C7173">
      <w:pPr>
        <w:autoSpaceDE w:val="0"/>
        <w:autoSpaceDN w:val="0"/>
        <w:adjustRightInd w:val="0"/>
        <w:rPr>
          <w:rFonts w:ascii="Eurostile-Demi" w:eastAsiaTheme="minorHAnsi" w:hAnsi="Eurostile-Demi" w:cs="Eurostile-Demi"/>
          <w:sz w:val="18"/>
          <w:szCs w:val="18"/>
          <w:lang w:eastAsia="en-US"/>
        </w:rPr>
      </w:pPr>
    </w:p>
    <w:p w:rsidR="003C7173" w:rsidRDefault="00BE070A" w:rsidP="003C7173">
      <w:pPr>
        <w:autoSpaceDE w:val="0"/>
        <w:autoSpaceDN w:val="0"/>
        <w:adjustRightInd w:val="0"/>
        <w:rPr>
          <w:rFonts w:ascii="Eurostile-Demi" w:eastAsiaTheme="minorHAnsi" w:hAnsi="Eurostile-Demi" w:cs="Eurostile-Demi"/>
          <w:sz w:val="18"/>
          <w:szCs w:val="18"/>
          <w:lang w:eastAsia="en-US"/>
        </w:rPr>
      </w:pPr>
      <w:r>
        <w:rPr>
          <w:rFonts w:ascii="Eurostile-Demi" w:eastAsiaTheme="minorHAnsi" w:hAnsi="Eurostile-Demi" w:cs="Eurostile-Demi"/>
          <w:sz w:val="18"/>
          <w:szCs w:val="18"/>
          <w:lang w:eastAsia="en-US"/>
        </w:rPr>
        <w:t>Réponse</w:t>
      </w:r>
      <w:r w:rsidR="003C7173">
        <w:rPr>
          <w:rFonts w:ascii="Eurostile-Demi" w:eastAsiaTheme="minorHAnsi" w:hAnsi="Eurostile-Demi" w:cs="Eurostile-Demi"/>
          <w:sz w:val="18"/>
          <w:szCs w:val="18"/>
          <w:lang w:eastAsia="en-US"/>
        </w:rPr>
        <w:t xml:space="preserve"> n° 4</w:t>
      </w:r>
    </w:p>
    <w:p w:rsidR="00BE070A" w:rsidRDefault="00BE070A" w:rsidP="00BE070A">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On constate que la méthode du coin donne un coefficient de sécurité nettement supérieur aux autres méthodes. En revanche, toutes les autres méthodes donnent pratiquement le même résultat. C’est normal puisque l’abaque de Biarez a été construit à partir de la méthode globale de Taylor, donnant les mêmes résultats que la méthode de Bishop simplifiée.</w:t>
      </w:r>
    </w:p>
    <w:p w:rsidR="00BE070A" w:rsidRDefault="00BE070A" w:rsidP="00BE070A">
      <w:pPr>
        <w:autoSpaceDE w:val="0"/>
        <w:autoSpaceDN w:val="0"/>
        <w:adjustRightInd w:val="0"/>
        <w:rPr>
          <w:rFonts w:ascii="Times-Roman" w:eastAsiaTheme="minorHAnsi" w:hAnsi="Times-Roman" w:cs="Times-Roman"/>
          <w:lang w:eastAsia="en-US"/>
        </w:rPr>
      </w:pPr>
      <w:r>
        <w:rPr>
          <w:rFonts w:ascii="Times-Roman" w:eastAsiaTheme="minorHAnsi" w:hAnsi="Times-Roman" w:cs="Times-Roman"/>
          <w:lang w:eastAsia="en-US"/>
        </w:rPr>
        <w:t>En conclusion, la méthode du coin est intéressante comme outil d’apprentissage. Elle permet un traitement analytique et met en évidence l’influence des différents paramètres géométriques et mécaniques sur la stabilité du talus. Mais l’hypothèse du plan de glissement est une hypothèse forte.</w:t>
      </w:r>
    </w:p>
    <w:p w:rsidR="00BE070A" w:rsidRDefault="00BE070A" w:rsidP="00BE070A">
      <w:pPr>
        <w:autoSpaceDE w:val="0"/>
        <w:autoSpaceDN w:val="0"/>
        <w:adjustRightInd w:val="0"/>
        <w:rPr>
          <w:rFonts w:ascii="Times-Roman" w:eastAsiaTheme="minorHAnsi" w:hAnsi="Times-Roman" w:cs="Times-Roman"/>
          <w:lang w:eastAsia="en-US"/>
        </w:rPr>
      </w:pPr>
    </w:p>
    <w:p w:rsidR="00BE070A" w:rsidRDefault="00BE070A" w:rsidP="00BE070A">
      <w:pPr>
        <w:autoSpaceDE w:val="0"/>
        <w:autoSpaceDN w:val="0"/>
        <w:adjustRightInd w:val="0"/>
        <w:rPr>
          <w:rFonts w:ascii="Times-Roman" w:eastAsiaTheme="minorHAnsi" w:hAnsi="Times-Roman" w:cs="Times-Roman"/>
          <w:lang w:eastAsia="en-US"/>
        </w:rPr>
      </w:pPr>
    </w:p>
    <w:p w:rsidR="00BE070A" w:rsidRDefault="00BE070A" w:rsidP="00BE070A">
      <w:pPr>
        <w:autoSpaceDE w:val="0"/>
        <w:autoSpaceDN w:val="0"/>
        <w:adjustRightInd w:val="0"/>
        <w:rPr>
          <w:rFonts w:ascii="Eurostile-Bold" w:eastAsiaTheme="minorHAnsi" w:hAnsi="Eurostile-Bold" w:cs="Eurostile-Bold"/>
          <w:b/>
          <w:bCs/>
          <w:sz w:val="14"/>
          <w:szCs w:val="14"/>
          <w:lang w:eastAsia="en-US"/>
        </w:rPr>
      </w:pPr>
      <w:r>
        <w:rPr>
          <w:rFonts w:ascii="Eurostile-Bold" w:eastAsiaTheme="minorHAnsi" w:hAnsi="Eurostile-Bold" w:cs="Eurostile-Bold"/>
          <w:b/>
          <w:bCs/>
          <w:sz w:val="14"/>
          <w:szCs w:val="14"/>
          <w:lang w:eastAsia="en-US"/>
        </w:rPr>
        <w:t>COMMENTAIRE</w:t>
      </w:r>
    </w:p>
    <w:p w:rsidR="003C7173" w:rsidRDefault="00BE070A" w:rsidP="00BE070A">
      <w:pPr>
        <w:autoSpaceDE w:val="0"/>
        <w:autoSpaceDN w:val="0"/>
        <w:adjustRightInd w:val="0"/>
        <w:rPr>
          <w:rFonts w:ascii="Times-Roman" w:eastAsiaTheme="minorHAnsi" w:hAnsi="Times-Roman" w:cs="Times-Roman"/>
          <w:lang w:eastAsia="en-US"/>
        </w:rPr>
      </w:pPr>
      <w:r>
        <w:rPr>
          <w:rFonts w:ascii="Times-Roman" w:eastAsiaTheme="minorHAnsi" w:hAnsi="Times-Roman" w:cs="Times-Roman"/>
          <w:sz w:val="16"/>
          <w:szCs w:val="16"/>
          <w:lang w:eastAsia="en-US"/>
        </w:rPr>
        <w:t>Pour un projet géotechnique, l’approche du coin surestimant le coefficient de sécurité, il faut donc utiliser des méthodes proposant des surfaces de rupture (cercle, mixte, spirale logarithmique) qui procurent des coefficients de sécurité réalistes. Enfin pour le cas traité dans cette application, le plus simple et rapide est d’utiliser l’abaque de Biarez.</w:t>
      </w:r>
    </w:p>
    <w:p w:rsidR="00CE773B" w:rsidRDefault="00CE773B" w:rsidP="00CE773B">
      <w:pPr>
        <w:jc w:val="center"/>
        <w:rPr>
          <w:b/>
        </w:rPr>
      </w:pPr>
    </w:p>
    <w:sectPr w:rsidR="00CE7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Demi">
    <w:altName w:val="Agency FB"/>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rostile-Bold">
    <w:altName w:val="Agency FB"/>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C74E2"/>
    <w:multiLevelType w:val="hybridMultilevel"/>
    <w:tmpl w:val="B5D659D2"/>
    <w:lvl w:ilvl="0" w:tplc="3AB24A7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A9"/>
    <w:rsid w:val="00092502"/>
    <w:rsid w:val="000E67AE"/>
    <w:rsid w:val="001307A8"/>
    <w:rsid w:val="001928A9"/>
    <w:rsid w:val="0020721A"/>
    <w:rsid w:val="00221549"/>
    <w:rsid w:val="00254E5D"/>
    <w:rsid w:val="00277D3B"/>
    <w:rsid w:val="003C7173"/>
    <w:rsid w:val="003F4A3A"/>
    <w:rsid w:val="00494B40"/>
    <w:rsid w:val="00517C9C"/>
    <w:rsid w:val="0056492D"/>
    <w:rsid w:val="00595E12"/>
    <w:rsid w:val="005F0B82"/>
    <w:rsid w:val="00663CBA"/>
    <w:rsid w:val="006D41C9"/>
    <w:rsid w:val="00771B32"/>
    <w:rsid w:val="008B200B"/>
    <w:rsid w:val="009E40E6"/>
    <w:rsid w:val="00A6093E"/>
    <w:rsid w:val="00AA5155"/>
    <w:rsid w:val="00AB3886"/>
    <w:rsid w:val="00B03F61"/>
    <w:rsid w:val="00BE070A"/>
    <w:rsid w:val="00C31183"/>
    <w:rsid w:val="00C97025"/>
    <w:rsid w:val="00CE773B"/>
    <w:rsid w:val="00EA1AB8"/>
    <w:rsid w:val="00FA43B5"/>
    <w:rsid w:val="00FC66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2777"/>
  <w15:chartTrackingRefBased/>
  <w15:docId w15:val="{5D5D7224-0C49-4B14-BDA3-BDCD1564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8A9"/>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928A9"/>
    <w:pPr>
      <w:jc w:val="both"/>
    </w:pPr>
    <w:rPr>
      <w:sz w:val="24"/>
    </w:rPr>
  </w:style>
  <w:style w:type="character" w:customStyle="1" w:styleId="CorpsdetexteCar">
    <w:name w:val="Corps de texte Car"/>
    <w:basedOn w:val="Policepardfaut"/>
    <w:link w:val="Corpsdetexte"/>
    <w:rsid w:val="001928A9"/>
    <w:rPr>
      <w:rFonts w:ascii="Times New Roman" w:eastAsia="Times New Roman" w:hAnsi="Times New Roman" w:cs="Times New Roman"/>
      <w:sz w:val="24"/>
      <w:szCs w:val="20"/>
      <w:lang w:eastAsia="fr-FR"/>
    </w:rPr>
  </w:style>
  <w:style w:type="paragraph" w:styleId="Lgende">
    <w:name w:val="caption"/>
    <w:basedOn w:val="Normal"/>
    <w:next w:val="Normal"/>
    <w:qFormat/>
    <w:rsid w:val="00C31183"/>
    <w:pPr>
      <w:jc w:val="center"/>
    </w:pPr>
    <w:rPr>
      <w:b/>
      <w:sz w:val="24"/>
    </w:rPr>
  </w:style>
  <w:style w:type="character" w:styleId="Textedelespacerserv">
    <w:name w:val="Placeholder Text"/>
    <w:basedOn w:val="Policepardfaut"/>
    <w:uiPriority w:val="99"/>
    <w:semiHidden/>
    <w:rsid w:val="00FC669E"/>
    <w:rPr>
      <w:color w:val="808080"/>
    </w:rPr>
  </w:style>
  <w:style w:type="paragraph" w:styleId="Textedebulles">
    <w:name w:val="Balloon Text"/>
    <w:basedOn w:val="Normal"/>
    <w:link w:val="TextedebullesCar"/>
    <w:uiPriority w:val="99"/>
    <w:semiHidden/>
    <w:unhideWhenUsed/>
    <w:rsid w:val="006D41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41C9"/>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w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731</Words>
  <Characters>4026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LGCIE</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Laurent Briancon</cp:lastModifiedBy>
  <cp:revision>15</cp:revision>
  <cp:lastPrinted>2021-04-29T06:14:00Z</cp:lastPrinted>
  <dcterms:created xsi:type="dcterms:W3CDTF">2016-03-29T05:43:00Z</dcterms:created>
  <dcterms:modified xsi:type="dcterms:W3CDTF">2023-09-04T06:42:00Z</dcterms:modified>
</cp:coreProperties>
</file>